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069A">
      <w:pPr>
        <w:pStyle w:val="2"/>
        <w:spacing w:before="0" w:after="0" w:line="360" w:lineRule="auto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bookmarkStart w:id="0" w:name="_Toc5688"/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附件2、《衡碱项目EPC/EPCC合格设备、材料生产商/品牌公开征集（第二次）设备制造商的基本资格及技术要求》</w:t>
      </w:r>
      <w:bookmarkEnd w:id="0"/>
    </w:p>
    <w:p w14:paraId="645673B1">
      <w:pPr>
        <w:pStyle w:val="3"/>
        <w:spacing w:before="120" w:beforeLines="50" w:after="120" w:afterLines="50"/>
        <w:jc w:val="center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bookmarkStart w:id="1" w:name="_Toc670"/>
      <w:bookmarkStart w:id="2" w:name="_Toc189"/>
      <w:bookmarkStart w:id="3" w:name="_Toc16721"/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第4标段：通用设备</w:t>
      </w:r>
      <w:bookmarkEnd w:id="1"/>
      <w:bookmarkEnd w:id="2"/>
      <w:bookmarkEnd w:id="3"/>
    </w:p>
    <w:tbl>
      <w:tblPr>
        <w:tblStyle w:val="4"/>
        <w:tblW w:w="142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11"/>
        <w:gridCol w:w="2039"/>
        <w:gridCol w:w="4591"/>
        <w:gridCol w:w="5952"/>
      </w:tblGrid>
      <w:tr w14:paraId="59ED6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60F7BE2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包号</w:t>
            </w:r>
          </w:p>
        </w:tc>
        <w:tc>
          <w:tcPr>
            <w:tcW w:w="1011" w:type="dxa"/>
            <w:noWrap w:val="0"/>
            <w:vAlign w:val="center"/>
          </w:tcPr>
          <w:p w14:paraId="190951B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包号名称</w:t>
            </w:r>
          </w:p>
        </w:tc>
        <w:tc>
          <w:tcPr>
            <w:tcW w:w="2039" w:type="dxa"/>
            <w:noWrap w:val="0"/>
            <w:vAlign w:val="center"/>
          </w:tcPr>
          <w:p w14:paraId="512EDCF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包内所含设备（或材料）</w:t>
            </w:r>
          </w:p>
        </w:tc>
        <w:tc>
          <w:tcPr>
            <w:tcW w:w="4591" w:type="dxa"/>
            <w:noWrap w:val="0"/>
            <w:vAlign w:val="center"/>
          </w:tcPr>
          <w:p w14:paraId="412F039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特定资格、业绩（必须为中国境内的供货业绩）等基本资格要求</w:t>
            </w:r>
          </w:p>
        </w:tc>
        <w:tc>
          <w:tcPr>
            <w:tcW w:w="5952" w:type="dxa"/>
            <w:noWrap w:val="0"/>
            <w:vAlign w:val="center"/>
          </w:tcPr>
          <w:p w14:paraId="281DE44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技术要求</w:t>
            </w:r>
          </w:p>
        </w:tc>
      </w:tr>
      <w:tr w14:paraId="62CF2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2202E4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包9</w:t>
            </w:r>
          </w:p>
        </w:tc>
        <w:tc>
          <w:tcPr>
            <w:tcW w:w="1011" w:type="dxa"/>
            <w:noWrap w:val="0"/>
            <w:vAlign w:val="center"/>
          </w:tcPr>
          <w:p w14:paraId="35306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板材1</w:t>
            </w:r>
          </w:p>
        </w:tc>
        <w:tc>
          <w:tcPr>
            <w:tcW w:w="2039" w:type="dxa"/>
            <w:noWrap w:val="0"/>
            <w:vAlign w:val="center"/>
          </w:tcPr>
          <w:p w14:paraId="55A16F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不锈钢钢板</w:t>
            </w:r>
          </w:p>
        </w:tc>
        <w:tc>
          <w:tcPr>
            <w:tcW w:w="4591" w:type="dxa"/>
            <w:noWrap w:val="0"/>
            <w:vAlign w:val="center"/>
          </w:tcPr>
          <w:p w14:paraId="407A69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2.1、具有一套煤化工或石油化工行业不锈钢钢板供货业绩。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近五年（近五年是指：2020年5月1日至投标文件截止时间）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制造商的投标和代理商的投标（如允许代理商投标的，一个制造商的设备，仅能委托一个代理商参加投标）。</w:t>
            </w:r>
          </w:p>
        </w:tc>
        <w:tc>
          <w:tcPr>
            <w:tcW w:w="5952" w:type="dxa"/>
            <w:noWrap w:val="0"/>
            <w:vAlign w:val="center"/>
          </w:tcPr>
          <w:p w14:paraId="1A8AAE3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‌1.拥有电炉、AOD转炉、VOD炉、LF炉等全套炼钢产线设备满足产能需求。</w:t>
            </w:r>
          </w:p>
        </w:tc>
      </w:tr>
      <w:tr w14:paraId="2E5E5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27EBB0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包10</w:t>
            </w:r>
          </w:p>
        </w:tc>
        <w:tc>
          <w:tcPr>
            <w:tcW w:w="1011" w:type="dxa"/>
            <w:noWrap w:val="0"/>
            <w:vAlign w:val="center"/>
          </w:tcPr>
          <w:p w14:paraId="0C1C53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板材2</w:t>
            </w:r>
          </w:p>
        </w:tc>
        <w:tc>
          <w:tcPr>
            <w:tcW w:w="2039" w:type="dxa"/>
            <w:noWrap w:val="0"/>
            <w:vAlign w:val="center"/>
          </w:tcPr>
          <w:p w14:paraId="21CB1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碳钢钢板</w:t>
            </w:r>
          </w:p>
        </w:tc>
        <w:tc>
          <w:tcPr>
            <w:tcW w:w="4591" w:type="dxa"/>
            <w:noWrap w:val="0"/>
            <w:vAlign w:val="center"/>
          </w:tcPr>
          <w:p w14:paraId="39788AC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2.1、具有一套煤化工或石油化工行业碳钢钢板供货业绩。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近五年（近五年是指：2020年5月1日至投标文件截止时间）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：制造商的投标和代理商的投标（如允许代理商投标的，一个制造商仅能委托一个代理商参加投标）。</w:t>
            </w:r>
          </w:p>
        </w:tc>
        <w:tc>
          <w:tcPr>
            <w:tcW w:w="5952" w:type="dxa"/>
            <w:noWrap w:val="0"/>
            <w:vAlign w:val="center"/>
          </w:tcPr>
          <w:p w14:paraId="6EC909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1.力学试验‌：拉伸、弯曲及冲击试验需符合标准（如GB/T228-2010等相关试验标准）。表面质量‌：无裂纹、折叠等缺陷，部分场景需探伤检测。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2.拥有电炉、AOD转炉、VOD炉、LF炉等全套炼钢产线设备满足产能需求。</w:t>
            </w:r>
          </w:p>
        </w:tc>
      </w:tr>
      <w:tr w14:paraId="3B372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129F1D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包20</w:t>
            </w:r>
          </w:p>
        </w:tc>
        <w:tc>
          <w:tcPr>
            <w:tcW w:w="1011" w:type="dxa"/>
            <w:noWrap w:val="0"/>
            <w:vAlign w:val="center"/>
          </w:tcPr>
          <w:p w14:paraId="0C9CB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焊材</w:t>
            </w:r>
          </w:p>
        </w:tc>
        <w:tc>
          <w:tcPr>
            <w:tcW w:w="2039" w:type="dxa"/>
            <w:noWrap w:val="0"/>
            <w:vAlign w:val="center"/>
          </w:tcPr>
          <w:p w14:paraId="5754B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焊材</w:t>
            </w:r>
          </w:p>
        </w:tc>
        <w:tc>
          <w:tcPr>
            <w:tcW w:w="4591" w:type="dxa"/>
            <w:noWrap w:val="0"/>
            <w:vAlign w:val="center"/>
          </w:tcPr>
          <w:p w14:paraId="1BF57FC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2.1、具有一套煤化工或石油化工行业焊材供货业绩。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近五年（近五年是指：2020年5月1日至投标文件截止时间）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制造商的投标和代理商的投标（如允许代理商投标的，一个制造商的设备，仅能委托一个代理商参加投标）。</w:t>
            </w:r>
          </w:p>
        </w:tc>
        <w:tc>
          <w:tcPr>
            <w:tcW w:w="5952" w:type="dxa"/>
            <w:noWrap w:val="0"/>
            <w:vAlign w:val="center"/>
          </w:tcPr>
          <w:p w14:paraId="3B6152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1、生产企业供货时需单独出具质量证明文件，涵盖化学成分、力学性能等关键指标检测数据，证书由生产厂商随货提供。</w:t>
            </w:r>
          </w:p>
        </w:tc>
      </w:tr>
      <w:tr w14:paraId="710F7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57BBD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包21</w:t>
            </w:r>
          </w:p>
        </w:tc>
        <w:tc>
          <w:tcPr>
            <w:tcW w:w="1011" w:type="dxa"/>
            <w:noWrap w:val="0"/>
            <w:vAlign w:val="center"/>
          </w:tcPr>
          <w:p w14:paraId="0E90C4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钢结构屋墙面维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护系统</w:t>
            </w:r>
          </w:p>
        </w:tc>
        <w:tc>
          <w:tcPr>
            <w:tcW w:w="2039" w:type="dxa"/>
            <w:noWrap w:val="0"/>
            <w:vAlign w:val="center"/>
          </w:tcPr>
          <w:p w14:paraId="56A026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钢结构屋墙面维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护系统</w:t>
            </w:r>
          </w:p>
        </w:tc>
        <w:tc>
          <w:tcPr>
            <w:tcW w:w="4591" w:type="dxa"/>
            <w:noWrap w:val="0"/>
            <w:vAlign w:val="center"/>
          </w:tcPr>
          <w:p w14:paraId="2A8843F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特定资格要求：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1.1具有建筑工程施工总承包贰级（含贰级）及以上资质，安全生产许可证处于有效期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1.2具有钢结构工程设计专项甲级资质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1.3具有钢结构工程专业承包一级资质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具有一项钢结构屋墙面维护系统类似工程业绩，合同内容涵盖建筑类型、建筑面积、单项合同额等。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近两年（近两年是指：2023年5月1日至投标文件截止时间）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制造商的投标和代理商的投标（如允许代理商投标的，一个制造商仅能委托一个代理商参加投标）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                                                </w:t>
            </w:r>
          </w:p>
        </w:tc>
        <w:tc>
          <w:tcPr>
            <w:tcW w:w="5952" w:type="dxa"/>
            <w:noWrap w:val="0"/>
            <w:vAlign w:val="center"/>
          </w:tcPr>
          <w:p w14:paraId="68EC57A4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屋面、墙面施工按行业标准执行；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2、屋面顶板（外板）参考博思格、烨辉、宝钢等同档次或高于所列品牌技术标准的材料选择。不具有指定或唯一的意思表示。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3、屋面内板及墙面板参考烨辉、博思格、湖北高正、宝山钢铁、杭萧钢构等同档次或高于所列品牌技术标准的材料选择。不具有指定或唯一的意思表示。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4、不锈钢自攻钉参考喜利得、慧鱼、实保威、OMG、百密得等同档次或高于所列品牌技术标准的材料选择。不具有指定或唯一的意思表示。</w:t>
            </w:r>
          </w:p>
          <w:p w14:paraId="541ACC78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屋面、墙面檩条参考宝钢、鞍钢、马钢、邯钢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等同档次或高于所列品牌技术标准的材料选择。不具有指定或唯一的意思表示。</w:t>
            </w:r>
          </w:p>
          <w:p w14:paraId="61E46A8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通风气楼或排烟天窗参考罗达、欧适、麦克威等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同档次或高于所列品牌技术标准的材料选择。不具有指定或唯一的意思表示。</w:t>
            </w:r>
          </w:p>
          <w:p w14:paraId="441A8931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采光板参考欧适、艾珀耐特（杭州）、多凯、麦克威等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同档次或高于所列品牌技术标准的材料选择。不具有指定或唯一的意思表示。</w:t>
            </w:r>
          </w:p>
          <w:p w14:paraId="6C0F4856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大、小雨棚参考上海宝钢（本厂）、台湾烨辉、博思格等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同档次或高于所列品牌技术标准的材料选择。不具有指定或唯一的意思表示。</w:t>
            </w:r>
          </w:p>
          <w:p w14:paraId="2C6ECA9D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保温棉（玻璃丝棉）参考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eastAsia="zh" w:bidi="ar"/>
              </w:rPr>
              <w:t>欧文斯科宁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eastAsia="zh" w:bidi="ar"/>
              </w:rPr>
              <w:t>、艾科赛特、威伦维尔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同档次或高于所列品牌技术标准的材料选择。不具有指定或唯一的意思表示。</w:t>
            </w:r>
          </w:p>
          <w:p w14:paraId="0BDEBEF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10、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具有建筑金属屋墙面设计与施工特级资质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此项为加分项</w:t>
            </w:r>
          </w:p>
        </w:tc>
      </w:tr>
      <w:tr w14:paraId="4519D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5C6FF2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包36</w:t>
            </w:r>
          </w:p>
        </w:tc>
        <w:tc>
          <w:tcPr>
            <w:tcW w:w="1011" w:type="dxa"/>
            <w:noWrap w:val="0"/>
            <w:vAlign w:val="center"/>
          </w:tcPr>
          <w:p w14:paraId="331252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消音器</w:t>
            </w:r>
          </w:p>
        </w:tc>
        <w:tc>
          <w:tcPr>
            <w:tcW w:w="2039" w:type="dxa"/>
            <w:noWrap w:val="0"/>
            <w:vAlign w:val="center"/>
          </w:tcPr>
          <w:p w14:paraId="7BBAD8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消音器</w:t>
            </w:r>
          </w:p>
        </w:tc>
        <w:tc>
          <w:tcPr>
            <w:tcW w:w="4591" w:type="dxa"/>
            <w:noWrap w:val="0"/>
            <w:vAlign w:val="center"/>
          </w:tcPr>
          <w:p w14:paraId="041AAFF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具有一套煤化工或石油化工行业消音器供货业绩。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近五年（近五年是指：2020年5月1日至投标文件截止时间）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制造商的投标。 </w:t>
            </w:r>
          </w:p>
        </w:tc>
        <w:tc>
          <w:tcPr>
            <w:tcW w:w="5952" w:type="dxa"/>
            <w:noWrap w:val="0"/>
            <w:vAlign w:val="center"/>
          </w:tcPr>
          <w:p w14:paraId="58C827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1.供货时提供型式检验证明，产品检验项目包含：外观、尺寸偏差、A计权插入损失、全压损失系数、单位面积气流噪声A计权声功率级、单位面积漏风量、耐高温性能。</w:t>
            </w:r>
          </w:p>
        </w:tc>
      </w:tr>
      <w:tr w14:paraId="4ED0A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28E7AA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包39</w:t>
            </w:r>
          </w:p>
        </w:tc>
        <w:tc>
          <w:tcPr>
            <w:tcW w:w="1011" w:type="dxa"/>
            <w:noWrap w:val="0"/>
            <w:vAlign w:val="center"/>
          </w:tcPr>
          <w:p w14:paraId="784E7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通用除铁器</w:t>
            </w:r>
          </w:p>
        </w:tc>
        <w:tc>
          <w:tcPr>
            <w:tcW w:w="2039" w:type="dxa"/>
            <w:noWrap w:val="0"/>
            <w:vAlign w:val="center"/>
          </w:tcPr>
          <w:p w14:paraId="27CAF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通用除铁器</w:t>
            </w:r>
          </w:p>
        </w:tc>
        <w:tc>
          <w:tcPr>
            <w:tcW w:w="4591" w:type="dxa"/>
            <w:noWrap w:val="0"/>
            <w:vAlign w:val="center"/>
          </w:tcPr>
          <w:p w14:paraId="17390E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具有一套煤化工或石油化工行业通用除铁器供货业绩。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近五年（近五年是指：2020年5月1日至投标文件截止时间）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制造商的投标。 </w:t>
            </w:r>
          </w:p>
        </w:tc>
        <w:tc>
          <w:tcPr>
            <w:tcW w:w="5952" w:type="dxa"/>
            <w:noWrap w:val="0"/>
            <w:vAlign w:val="center"/>
          </w:tcPr>
          <w:p w14:paraId="5FA05B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1.具备能检测交流/直流磁场、静电场以及瞬态电磁场、温度场分析和参数化分析的能力。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2.具备检测产品的相位线、B和H分布图、能量、密度、温度分布图等。</w:t>
            </w:r>
          </w:p>
        </w:tc>
      </w:tr>
      <w:tr w14:paraId="78D79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2042F4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包40</w:t>
            </w:r>
          </w:p>
        </w:tc>
        <w:tc>
          <w:tcPr>
            <w:tcW w:w="1011" w:type="dxa"/>
            <w:noWrap w:val="0"/>
            <w:vAlign w:val="center"/>
          </w:tcPr>
          <w:p w14:paraId="3F7209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防爆电梯</w:t>
            </w:r>
          </w:p>
        </w:tc>
        <w:tc>
          <w:tcPr>
            <w:tcW w:w="2039" w:type="dxa"/>
            <w:noWrap w:val="0"/>
            <w:vAlign w:val="center"/>
          </w:tcPr>
          <w:p w14:paraId="3DA84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防爆电梯</w:t>
            </w:r>
          </w:p>
        </w:tc>
        <w:tc>
          <w:tcPr>
            <w:tcW w:w="4591" w:type="dxa"/>
            <w:noWrap w:val="0"/>
            <w:vAlign w:val="center"/>
          </w:tcPr>
          <w:p w14:paraId="253D0E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具有电梯制造（含电梯、安装、修理、改造）的特种设备生产许可证。且子项目包含曳引式防爆电梯等级。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具有一套煤化工或石油化工行业防爆电梯供货业绩。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近五年（近五年是指：2020年5月1日至投标文件截止时间）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制造商的投标。 </w:t>
            </w:r>
          </w:p>
        </w:tc>
        <w:tc>
          <w:tcPr>
            <w:tcW w:w="5952" w:type="dxa"/>
            <w:noWrap w:val="0"/>
            <w:vAlign w:val="center"/>
          </w:tcPr>
          <w:p w14:paraId="132508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1.电梯厅门需耐火不小于1小时，并符合国家《电梯层门耐火试验、隔热性和热通量测定法》规定的完成性和隔热性要求。</w:t>
            </w:r>
          </w:p>
        </w:tc>
      </w:tr>
      <w:tr w14:paraId="2890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6B9DB0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包42</w:t>
            </w:r>
          </w:p>
        </w:tc>
        <w:tc>
          <w:tcPr>
            <w:tcW w:w="1011" w:type="dxa"/>
            <w:noWrap w:val="0"/>
            <w:vAlign w:val="center"/>
          </w:tcPr>
          <w:p w14:paraId="766B8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挂式、柜式空调</w:t>
            </w:r>
          </w:p>
        </w:tc>
        <w:tc>
          <w:tcPr>
            <w:tcW w:w="2039" w:type="dxa"/>
            <w:noWrap w:val="0"/>
            <w:vAlign w:val="center"/>
          </w:tcPr>
          <w:p w14:paraId="096CB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空调（厂内外操间、办公室等区域）</w:t>
            </w:r>
          </w:p>
        </w:tc>
        <w:tc>
          <w:tcPr>
            <w:tcW w:w="4591" w:type="dxa"/>
            <w:noWrap w:val="0"/>
            <w:vAlign w:val="center"/>
          </w:tcPr>
          <w:p w14:paraId="3F77CB6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2.1、承担过1个工业项目或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民用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建筑项目的空调（挂式、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" w:bidi="ar"/>
              </w:rPr>
              <w:t>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式）供货业绩。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近五年（2020年5月1日至投标截止时间）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3、本项目接受：制造商的投标和代理商的投标（如允许代理商投标的，一个制造商仅能委托一个代理商参加投标）。</w:t>
            </w:r>
          </w:p>
        </w:tc>
        <w:tc>
          <w:tcPr>
            <w:tcW w:w="5952" w:type="dxa"/>
            <w:noWrap w:val="0"/>
            <w:vAlign w:val="center"/>
          </w:tcPr>
          <w:p w14:paraId="0A03A6F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1、基本功能要求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空调换热管材质为非铜材质，应选用不锈钢。不锈钢应具有良好耐腐蚀性和硬度。不锈钢换热管的外径公差需控制在0~+20mm范围内，壁厚公差需控制在0~0.05mm范围内，且要符合JB/T10503-2017《空调与制冷用高效换热管》等相关规范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能效标准：符合国家GB 21455-2019《房间空气调节器能效限定值及能效等级》能效标准，挂式能效等级不低于一级（APF≥5.0），立式不低于一级（APF≥4.5）。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制冷/制热能力：挂式适用面积15-25㎡，制冷量≥3.5kW；立式适用面积30-50㎡，制冷量≥7.1kW，制热效率COP≥3.5。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静音运行：挂式室内机噪音≤40dB(A)，立式≤48dB(A)；室外机符合GB/T 7725-2022噪声规范。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2、智能与健康功能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支持Wi-Fi/APP远程控制及集中管理接口；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配备PM2.5过滤（效率≥90%）、抗菌滤网（符合GB 21551.6-2010）及自动除湿；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具备自清洁功能，蒸发器高温杀菌≥56℃/30分钟。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3、安全与维护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符合GB 4706.1电气安全标准，具备电压保护（170V-265V）、漏电断路功能；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外机防护等级IPX4，适应-15℃~50℃环境；滤网可拆卸清洗，检修口预留标准尺寸。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4、认证要求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需提供CCC认证、节能认证及第三方检测报告（含性能、噪音、能效数据）。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5、参考格力、海尔、美的等同档次或更高档次品牌。以上参考同档次或高于所列品牌技术标准的材料选择。不具有指定或唯一的意思表示。</w:t>
            </w:r>
          </w:p>
        </w:tc>
      </w:tr>
      <w:tr w14:paraId="1F588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759CC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包44</w:t>
            </w:r>
          </w:p>
        </w:tc>
        <w:tc>
          <w:tcPr>
            <w:tcW w:w="1011" w:type="dxa"/>
            <w:noWrap w:val="0"/>
            <w:vAlign w:val="center"/>
          </w:tcPr>
          <w:p w14:paraId="79B85A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电动叉车</w:t>
            </w:r>
          </w:p>
        </w:tc>
        <w:tc>
          <w:tcPr>
            <w:tcW w:w="2039" w:type="dxa"/>
            <w:noWrap w:val="0"/>
            <w:vAlign w:val="center"/>
          </w:tcPr>
          <w:p w14:paraId="7756D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电动叉车</w:t>
            </w:r>
          </w:p>
        </w:tc>
        <w:tc>
          <w:tcPr>
            <w:tcW w:w="4591" w:type="dxa"/>
            <w:noWrap w:val="0"/>
            <w:vAlign w:val="center"/>
          </w:tcPr>
          <w:p w14:paraId="6697D83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具有一套煤化工或石油化工行业电动叉车供货业绩。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近五年（近五年是指：2020年5月1日至投标文件截止时间）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制造商的投标和代理商的投标（如允许代理商投标的，一个制造商仅能委托一个代理商参加投标）。 </w:t>
            </w:r>
          </w:p>
        </w:tc>
        <w:tc>
          <w:tcPr>
            <w:tcW w:w="5952" w:type="dxa"/>
            <w:noWrap w:val="0"/>
            <w:vAlign w:val="center"/>
          </w:tcPr>
          <w:p w14:paraId="16CE51D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1.应符合GB1027JB/T2391JB/T3300等相关叉车产品通用标准。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门架系统的耐久性应能通过10万次试验，不得出现焊缝裂开及较大磨损；前轮胎在400小时内不需更换；驱动桥壳和转向桥体应能承受30万次台架试验等。同时，车速与制动距离也有严格标准，例如车速在20km/h时，空载制动距离不应大于6m；车速在10km/h时，满载制动距离不大于3m。</w:t>
            </w:r>
          </w:p>
        </w:tc>
      </w:tr>
      <w:tr w14:paraId="07255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42CC1D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包46</w:t>
            </w:r>
          </w:p>
        </w:tc>
        <w:tc>
          <w:tcPr>
            <w:tcW w:w="1011" w:type="dxa"/>
            <w:noWrap w:val="0"/>
            <w:vAlign w:val="center"/>
          </w:tcPr>
          <w:p w14:paraId="35F568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自动加药装置（含控制系统）</w:t>
            </w:r>
          </w:p>
        </w:tc>
        <w:tc>
          <w:tcPr>
            <w:tcW w:w="2039" w:type="dxa"/>
            <w:noWrap w:val="0"/>
            <w:vAlign w:val="center"/>
          </w:tcPr>
          <w:p w14:paraId="2C9F4E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自动加药装置（含控制系统）</w:t>
            </w:r>
          </w:p>
        </w:tc>
        <w:tc>
          <w:tcPr>
            <w:tcW w:w="4591" w:type="dxa"/>
            <w:noWrap w:val="0"/>
            <w:vAlign w:val="center"/>
          </w:tcPr>
          <w:p w14:paraId="44B1DF6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具有一个300MW电厂自动加药装置（含控制系统）的供货业绩。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近五年（近五年是指：2020年5月1日至投标文件截止时间）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制造商的投标。 </w:t>
            </w:r>
          </w:p>
        </w:tc>
        <w:tc>
          <w:tcPr>
            <w:tcW w:w="5952" w:type="dxa"/>
            <w:noWrap w:val="0"/>
            <w:vAlign w:val="center"/>
          </w:tcPr>
          <w:p w14:paraId="00A2FD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1、加药泵采用进口品牌；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2、能够连续运行30000小时以上；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3、智能化、精准化加药，能够实现无人值守，有在线水质监测、自动保护等功能。</w:t>
            </w:r>
          </w:p>
        </w:tc>
      </w:tr>
      <w:tr w14:paraId="6616E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noWrap w:val="0"/>
            <w:vAlign w:val="center"/>
          </w:tcPr>
          <w:p w14:paraId="70DAC1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包51</w:t>
            </w:r>
          </w:p>
        </w:tc>
        <w:tc>
          <w:tcPr>
            <w:tcW w:w="1011" w:type="dxa"/>
            <w:noWrap w:val="0"/>
            <w:vAlign w:val="center"/>
          </w:tcPr>
          <w:p w14:paraId="7C9D6F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蒸汽保温气凝胶</w:t>
            </w:r>
          </w:p>
        </w:tc>
        <w:tc>
          <w:tcPr>
            <w:tcW w:w="2039" w:type="dxa"/>
            <w:noWrap w:val="0"/>
            <w:vAlign w:val="center"/>
          </w:tcPr>
          <w:p w14:paraId="6B2024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蒸汽保温气凝胶</w:t>
            </w:r>
          </w:p>
        </w:tc>
        <w:tc>
          <w:tcPr>
            <w:tcW w:w="4591" w:type="dxa"/>
            <w:noWrap w:val="0"/>
            <w:vAlign w:val="center"/>
          </w:tcPr>
          <w:p w14:paraId="657C659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具有一套煤化工或石油化工行业蒸汽保温气凝胶供货业绩。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近五年（近五年是指：2020年5月1日至投标文件截止时间）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制造商的投标和代理商的投标（如允许代理商投标的，一个制造商仅能委托一个代理商参加投标）。 </w:t>
            </w:r>
          </w:p>
        </w:tc>
        <w:tc>
          <w:tcPr>
            <w:tcW w:w="5952" w:type="dxa"/>
            <w:noWrap w:val="0"/>
            <w:vAlign w:val="center"/>
          </w:tcPr>
          <w:p w14:paraId="32E78A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trike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trike w:val="0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1.气凝胶的防火等级要符合GB8624-2012等相关规定。</w:t>
            </w:r>
          </w:p>
        </w:tc>
      </w:tr>
      <w:tr w14:paraId="63CED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75D737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包55</w:t>
            </w:r>
          </w:p>
        </w:tc>
        <w:tc>
          <w:tcPr>
            <w:tcW w:w="1011" w:type="dxa"/>
            <w:vMerge w:val="restart"/>
            <w:noWrap w:val="0"/>
            <w:vAlign w:val="center"/>
          </w:tcPr>
          <w:p w14:paraId="2AFC6D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振动筛（不分）</w:t>
            </w:r>
          </w:p>
        </w:tc>
        <w:tc>
          <w:tcPr>
            <w:tcW w:w="2039" w:type="dxa"/>
            <w:noWrap w:val="0"/>
            <w:vAlign w:val="center"/>
          </w:tcPr>
          <w:p w14:paraId="50BFD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直线振动筛(制盐）</w:t>
            </w:r>
          </w:p>
        </w:tc>
        <w:tc>
          <w:tcPr>
            <w:tcW w:w="4591" w:type="dxa"/>
            <w:vMerge w:val="restart"/>
            <w:noWrap w:val="0"/>
            <w:vAlign w:val="center"/>
          </w:tcPr>
          <w:p w14:paraId="33291A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1、特定资格要求：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2、类似业绩资格要求：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具有一套联碱行业内振动筛供货业绩。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类似业绩考核时限：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近五年（近五年是指：2020年5月1日至投标文件截止时间）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类似业绩的考核依据：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3、本项目接受：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制造商的投标。 </w:t>
            </w:r>
          </w:p>
        </w:tc>
        <w:tc>
          <w:tcPr>
            <w:tcW w:w="5952" w:type="dxa"/>
            <w:noWrap w:val="0"/>
            <w:vAlign w:val="center"/>
          </w:tcPr>
          <w:p w14:paraId="2F0C36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处理能力：≥37.5吨/h</w:t>
            </w:r>
          </w:p>
        </w:tc>
      </w:tr>
      <w:tr w14:paraId="63CDA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29B676D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 w14:paraId="167FAFE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153F0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干铵振动筛（联碱）</w:t>
            </w:r>
          </w:p>
        </w:tc>
        <w:tc>
          <w:tcPr>
            <w:tcW w:w="4591" w:type="dxa"/>
            <w:vMerge w:val="continue"/>
            <w:noWrap w:val="0"/>
            <w:vAlign w:val="center"/>
          </w:tcPr>
          <w:p w14:paraId="3F7A2027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952" w:type="dxa"/>
            <w:noWrap w:val="0"/>
            <w:vAlign w:val="center"/>
          </w:tcPr>
          <w:p w14:paraId="3C56EE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1、筛网材质轻重灰为304不锈钢，与物料接触部分为不锈钢材质；干铵使用筛材质全部为316L；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2、碳钢材质防腐要求为除锈达到Sa2.5要求，防腐漆两底两中两面；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3、碱筛运行满足生产能力要求，期间不准出现有漏的现象发生；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4、出筛网的成品或者细粉出料口接头预留合理；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5.62.5t/h</w:t>
            </w:r>
          </w:p>
        </w:tc>
      </w:tr>
      <w:tr w14:paraId="13171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13CA02E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 w14:paraId="3BEB3DF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63AB0B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重碱碱筛（联碱）</w:t>
            </w:r>
          </w:p>
        </w:tc>
        <w:tc>
          <w:tcPr>
            <w:tcW w:w="4591" w:type="dxa"/>
            <w:vMerge w:val="continue"/>
            <w:noWrap w:val="0"/>
            <w:vAlign w:val="center"/>
          </w:tcPr>
          <w:p w14:paraId="51EB5DAA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952" w:type="dxa"/>
            <w:noWrap w:val="0"/>
            <w:vAlign w:val="center"/>
          </w:tcPr>
          <w:p w14:paraId="1E1C747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1、筛网材质轻重灰为304不锈钢，与物料接触部分为不锈钢材质；干铵使用筛材质全部为316L；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2、碳钢材质防腐要求为除锈达到Sa2.5要求，防腐漆两底两中两面；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3、碱筛运行满足生产能力要求，期间不准出现有漏的现象发生；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4、出筛网的成品或者细粉出料口接头预留合理；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5.30t/h</w:t>
            </w:r>
          </w:p>
        </w:tc>
      </w:tr>
      <w:tr w14:paraId="4B6BF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1495B4C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 w14:paraId="38B4D8B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4E7CE6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滚筒筛（轻重碱_联碱）</w:t>
            </w:r>
          </w:p>
        </w:tc>
        <w:tc>
          <w:tcPr>
            <w:tcW w:w="4591" w:type="dxa"/>
            <w:vMerge w:val="continue"/>
            <w:noWrap w:val="0"/>
            <w:vAlign w:val="center"/>
          </w:tcPr>
          <w:p w14:paraId="18F44AE3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952" w:type="dxa"/>
            <w:noWrap w:val="0"/>
            <w:vAlign w:val="center"/>
          </w:tcPr>
          <w:p w14:paraId="4CB680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1、筛网材质轻重灰为304不锈钢，与物料接触部分为不锈钢材质；干铵使用筛材质全部为316L；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2、碳钢材质防腐要求为除锈达到Sa2.5要求，防腐漆两底两中两面；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3、碱筛运行满足生产能力要求，期间不准出现有漏的现象发生；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4、出筛网的成品或者细粉出料口接头预留合理；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5.50~120t/h</w:t>
            </w:r>
          </w:p>
        </w:tc>
      </w:tr>
    </w:tbl>
    <w:p w14:paraId="39B701C0">
      <w:pPr>
        <w:spacing w:line="360" w:lineRule="auto"/>
        <w:rPr>
          <w:rFonts w:hint="eastAsia" w:ascii="宋体" w:hAnsi="宋体" w:cs="宋体"/>
          <w:color w:val="000000"/>
          <w:szCs w:val="21"/>
          <w:highlight w:val="none"/>
        </w:rPr>
      </w:pPr>
    </w:p>
    <w:p w14:paraId="67628EE8">
      <w:bookmarkStart w:id="4" w:name="_GoBack"/>
      <w:bookmarkEnd w:id="4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ECAF5"/>
    <w:multiLevelType w:val="singleLevel"/>
    <w:tmpl w:val="9D6EC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F6F7F3"/>
    <w:multiLevelType w:val="singleLevel"/>
    <w:tmpl w:val="DFF6F7F3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F75BBA66"/>
    <w:multiLevelType w:val="singleLevel"/>
    <w:tmpl w:val="F75BB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10BB4"/>
    <w:rsid w:val="295B4164"/>
    <w:rsid w:val="6A3075D9"/>
    <w:rsid w:val="6BB5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widowControl/>
      <w:spacing w:line="360" w:lineRule="auto"/>
      <w:outlineLvl w:val="2"/>
    </w:pPr>
    <w:rPr>
      <w:b/>
      <w:bCs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2503</Words>
  <Characters>2807</Characters>
  <Lines>0</Lines>
  <Paragraphs>0</Paragraphs>
  <TotalTime>0</TotalTime>
  <ScaleCrop>false</ScaleCrop>
  <LinksUpToDate>false</LinksUpToDate>
  <CharactersWithSpaces>3132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2025-06-23T03:44:00Z</dcterms:created>
  <dc:creator>CJ</dc:creator>
  <cp:lastModifiedBy>扬帆起航 </cp:lastModifiedBy>
  <dcterms:modified xsi:type="dcterms:W3CDTF">2025-06-23T03:56:58Z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eyJoZGlkIjoiYjY2M2RmZGIwYjAzYmU5OGQ0ZjY5N2ZlZWFkZjQzYTEiLCJ1c2VySWQiOiIzMDIwNzQ0MzcifQ==</vt:lpwstr>
  </property>
  <property fmtid="{D5CDD505-2E9C-101B-9397-08002B2CF9AE}" pid="4" name="ICV">
    <vt:lpwstr>D1909C8AF7C44C1E931F27AB8D1945D2_12</vt:lpwstr>
  </property>
</Properties>
</file>