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BF66">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bCs/>
          <w:color w:val="000000"/>
          <w:sz w:val="21"/>
          <w:szCs w:val="21"/>
          <w:lang w:val="en-US" w:eastAsia="zh-CN"/>
        </w:rPr>
      </w:pPr>
      <w:bookmarkStart w:id="0" w:name="_Toc3824"/>
      <w:bookmarkStart w:id="1" w:name="_Toc18241"/>
      <w:bookmarkStart w:id="2" w:name="_Toc822"/>
      <w:bookmarkStart w:id="3" w:name="_Toc359"/>
      <w:bookmarkStart w:id="4" w:name="_Toc24739"/>
      <w:r>
        <w:rPr>
          <w:rFonts w:hint="eastAsia" w:ascii="宋体" w:hAnsi="宋体" w:eastAsia="宋体" w:cs="宋体"/>
          <w:b/>
          <w:bCs/>
          <w:color w:val="000000"/>
          <w:sz w:val="21"/>
          <w:szCs w:val="21"/>
          <w:lang w:val="en-US" w:eastAsia="zh-CN"/>
        </w:rPr>
        <w:t>附件2、《衡碱项目EPC/EPCC合格设备、材料生产商/品牌公开征集设备制造商的基本资格及技术要求》</w:t>
      </w:r>
      <w:bookmarkEnd w:id="0"/>
      <w:bookmarkEnd w:id="1"/>
      <w:bookmarkEnd w:id="2"/>
      <w:bookmarkEnd w:id="3"/>
      <w:bookmarkEnd w:id="4"/>
    </w:p>
    <w:p w14:paraId="1FDB849D">
      <w:pPr>
        <w:pStyle w:val="4"/>
        <w:keepNext w:val="0"/>
        <w:keepLines w:val="0"/>
        <w:pageBreakBefore w:val="0"/>
        <w:widowControl/>
        <w:kinsoku/>
        <w:wordWrap/>
        <w:overflowPunct/>
        <w:topLinePunct w:val="0"/>
        <w:autoSpaceDE/>
        <w:autoSpaceDN/>
        <w:bidi w:val="0"/>
        <w:adjustRightInd/>
        <w:snapToGrid/>
        <w:spacing w:before="154" w:beforeLines="50" w:after="154" w:afterLines="50"/>
        <w:jc w:val="center"/>
        <w:textAlignment w:val="auto"/>
        <w:rPr>
          <w:rFonts w:hint="eastAsia" w:ascii="宋体" w:hAnsi="宋体" w:eastAsia="宋体" w:cs="宋体"/>
          <w:color w:val="000000"/>
          <w:sz w:val="21"/>
          <w:szCs w:val="21"/>
        </w:rPr>
      </w:pPr>
      <w:bookmarkStart w:id="5" w:name="_Toc16721"/>
      <w:bookmarkStart w:id="6" w:name="_Toc670"/>
      <w:r>
        <w:rPr>
          <w:rFonts w:hint="eastAsia" w:ascii="宋体" w:hAnsi="宋体" w:eastAsia="宋体" w:cs="宋体"/>
          <w:sz w:val="21"/>
          <w:szCs w:val="21"/>
          <w:lang w:val="en-US" w:eastAsia="zh-CN"/>
        </w:rPr>
        <w:t>第4标段：通用设备</w:t>
      </w:r>
      <w:bookmarkEnd w:id="5"/>
      <w:bookmarkEnd w:id="6"/>
    </w:p>
    <w:tbl>
      <w:tblPr>
        <w:tblStyle w:val="7"/>
        <w:tblW w:w="142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010"/>
        <w:gridCol w:w="2034"/>
        <w:gridCol w:w="4574"/>
        <w:gridCol w:w="5976"/>
      </w:tblGrid>
      <w:tr w14:paraId="04E5C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7B2D51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color w:val="auto"/>
                <w:sz w:val="18"/>
                <w:szCs w:val="18"/>
                <w:highlight w:val="none"/>
                <w:vertAlign w:val="baseline"/>
                <w:lang w:val="en-US" w:eastAsia="zh-CN"/>
              </w:rPr>
              <w:t>包号</w:t>
            </w:r>
          </w:p>
        </w:tc>
        <w:tc>
          <w:tcPr>
            <w:tcW w:w="1011" w:type="dxa"/>
            <w:tcBorders>
              <w:tl2br w:val="nil"/>
              <w:tr2bl w:val="nil"/>
            </w:tcBorders>
            <w:noWrap w:val="0"/>
            <w:vAlign w:val="center"/>
          </w:tcPr>
          <w:p w14:paraId="1F2CB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包号名称</w:t>
            </w:r>
          </w:p>
        </w:tc>
        <w:tc>
          <w:tcPr>
            <w:tcW w:w="2039" w:type="dxa"/>
            <w:tcBorders>
              <w:tl2br w:val="nil"/>
              <w:tr2bl w:val="nil"/>
            </w:tcBorders>
            <w:noWrap w:val="0"/>
            <w:vAlign w:val="center"/>
          </w:tcPr>
          <w:p w14:paraId="5FF5B5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包内所含设备（或材料）</w:t>
            </w:r>
          </w:p>
        </w:tc>
        <w:tc>
          <w:tcPr>
            <w:tcW w:w="4590" w:type="dxa"/>
            <w:tcBorders>
              <w:tl2br w:val="nil"/>
              <w:tr2bl w:val="nil"/>
            </w:tcBorders>
            <w:noWrap w:val="0"/>
            <w:vAlign w:val="center"/>
          </w:tcPr>
          <w:p w14:paraId="343A13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特定资格、业绩（必须为中国境内的供货业绩）等基本资格要求</w:t>
            </w:r>
          </w:p>
        </w:tc>
        <w:tc>
          <w:tcPr>
            <w:tcW w:w="5950" w:type="dxa"/>
            <w:tcBorders>
              <w:tl2br w:val="nil"/>
              <w:tr2bl w:val="nil"/>
            </w:tcBorders>
            <w:noWrap w:val="0"/>
            <w:vAlign w:val="center"/>
          </w:tcPr>
          <w:p w14:paraId="04CCD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strike w:val="0"/>
                <w:dstrike w:val="0"/>
                <w:color w:val="auto"/>
                <w:sz w:val="18"/>
                <w:szCs w:val="18"/>
                <w:highlight w:val="none"/>
                <w:vertAlign w:val="baseline"/>
                <w:lang w:val="en-US" w:eastAsia="zh-CN"/>
              </w:rPr>
              <w:t>技术要求</w:t>
            </w:r>
          </w:p>
        </w:tc>
      </w:tr>
      <w:tr w14:paraId="527C7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9CE121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w:t>
            </w:r>
          </w:p>
        </w:tc>
        <w:tc>
          <w:tcPr>
            <w:tcW w:w="1011" w:type="dxa"/>
            <w:tcBorders>
              <w:tl2br w:val="nil"/>
              <w:tr2bl w:val="nil"/>
            </w:tcBorders>
            <w:noWrap w:val="0"/>
            <w:vAlign w:val="center"/>
          </w:tcPr>
          <w:p w14:paraId="08CDFE9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离心式压缩机（含汽轮机）</w:t>
            </w:r>
          </w:p>
        </w:tc>
        <w:tc>
          <w:tcPr>
            <w:tcW w:w="2039" w:type="dxa"/>
            <w:tcBorders>
              <w:tl2br w:val="nil"/>
              <w:tr2bl w:val="nil"/>
            </w:tcBorders>
            <w:noWrap w:val="0"/>
            <w:vAlign w:val="center"/>
          </w:tcPr>
          <w:p w14:paraId="1ED9A34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离心式压缩机（含汽轮机）</w:t>
            </w:r>
          </w:p>
        </w:tc>
        <w:tc>
          <w:tcPr>
            <w:tcW w:w="4590" w:type="dxa"/>
            <w:tcBorders>
              <w:tl2br w:val="nil"/>
              <w:tr2bl w:val="nil"/>
            </w:tcBorders>
            <w:noWrap w:val="0"/>
            <w:vAlign w:val="center"/>
          </w:tcPr>
          <w:p w14:paraId="6EA2689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国产品牌压缩机供应商具有60万吨合成氨冰机和输煤CO2压缩机、200万吨联碱真空机、炉气压缩机和联碱冰机运行一年以上业绩各1个；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进口品牌压缩机供应商具有煤化工或石油化工在国内的一套业绩，并提供业绩证明。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近十年（近十年是指：2015年5月1日至投标文件截止时间）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950" w:type="dxa"/>
            <w:tcBorders>
              <w:tl2br w:val="nil"/>
              <w:tr2bl w:val="nil"/>
            </w:tcBorders>
            <w:noWrap w:val="0"/>
            <w:vAlign w:val="center"/>
          </w:tcPr>
          <w:p w14:paraId="7B14F92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1、压缩机壳体具备水平剖分和垂直剖分能力，能够达到出口压力8Mpa以上；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2、汽轮机为反动式，出厂做高速动平衡和蒸汽联动试验；汽轮机推荐杭州汽轮机、三菱重工、西门子等品牌或高于上述品牌。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3、干气密封推荐使用约翰克兰、福斯、博格曼进口品牌或者高于上述品牌；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氨压缩机流量27172KG/h进口压力0.56Mpa出口压力1.8Mpa;输煤CO2压缩机流量32000Nm³/h入口压力0.12/0.2Mpa出口压力8.35Mpa；联碱冰机流量40000Nm3/h入口压力0.43Mpa出口压力1.72Mpa；联碱真空泵流量4200Nm3/h入口压力-0.3Kpa出口压力1.0Mpa；联碱CO2流量1200Nm3/h入口压力-0.35Kpa出口压力0.6Mpa；</w:t>
            </w:r>
          </w:p>
        </w:tc>
      </w:tr>
      <w:tr w14:paraId="4A0AE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CB89DC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w:t>
            </w:r>
          </w:p>
        </w:tc>
        <w:tc>
          <w:tcPr>
            <w:tcW w:w="1011" w:type="dxa"/>
            <w:tcBorders>
              <w:tl2br w:val="nil"/>
              <w:tr2bl w:val="nil"/>
            </w:tcBorders>
            <w:noWrap w:val="0"/>
            <w:vAlign w:val="center"/>
          </w:tcPr>
          <w:p w14:paraId="1E3F08C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塔内件1</w:t>
            </w:r>
          </w:p>
        </w:tc>
        <w:tc>
          <w:tcPr>
            <w:tcW w:w="2039" w:type="dxa"/>
            <w:tcBorders>
              <w:tl2br w:val="nil"/>
              <w:tr2bl w:val="nil"/>
            </w:tcBorders>
            <w:noWrap w:val="0"/>
            <w:vAlign w:val="center"/>
          </w:tcPr>
          <w:p w14:paraId="0866070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核心装置塔内件</w:t>
            </w:r>
          </w:p>
        </w:tc>
        <w:tc>
          <w:tcPr>
            <w:tcW w:w="4590" w:type="dxa"/>
            <w:tcBorders>
              <w:tl2br w:val="nil"/>
              <w:tr2bl w:val="nil"/>
            </w:tcBorders>
            <w:noWrap w:val="0"/>
            <w:vAlign w:val="center"/>
          </w:tcPr>
          <w:p w14:paraId="73B16D4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2.1、具有一套煤化工或石油化工行业核心装置塔内件供货业绩。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950" w:type="dxa"/>
            <w:tcBorders>
              <w:tl2br w:val="nil"/>
              <w:tr2bl w:val="nil"/>
            </w:tcBorders>
            <w:noWrap w:val="0"/>
            <w:vAlign w:val="center"/>
          </w:tcPr>
          <w:p w14:paraId="46EEE38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1.投标人或其技术支持单位应具有丰富的设计经验及计算能力，为了保证塔内件的质量和长期稳定运行效果，本次招标规定投标人的技术支持（设计）参考苏尔寿 SULZER、科氏格里奇 KochGlitsch、蒙茨 Montz、拉西格 Raschig等同档次或高于所列品牌技术标准的材料选择。不具有指定或唯一的意思表示。</w:t>
            </w:r>
          </w:p>
        </w:tc>
      </w:tr>
      <w:tr w14:paraId="3334B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7CAA960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w:t>
            </w:r>
          </w:p>
        </w:tc>
        <w:tc>
          <w:tcPr>
            <w:tcW w:w="1011" w:type="dxa"/>
            <w:tcBorders>
              <w:tl2br w:val="nil"/>
              <w:tr2bl w:val="nil"/>
            </w:tcBorders>
            <w:noWrap w:val="0"/>
            <w:vAlign w:val="center"/>
          </w:tcPr>
          <w:p w14:paraId="35E0C84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塔内件2</w:t>
            </w:r>
          </w:p>
        </w:tc>
        <w:tc>
          <w:tcPr>
            <w:tcW w:w="2039" w:type="dxa"/>
            <w:tcBorders>
              <w:tl2br w:val="nil"/>
              <w:tr2bl w:val="nil"/>
            </w:tcBorders>
            <w:noWrap w:val="0"/>
            <w:vAlign w:val="center"/>
          </w:tcPr>
          <w:p w14:paraId="3407829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次重要设备塔内件</w:t>
            </w:r>
          </w:p>
        </w:tc>
        <w:tc>
          <w:tcPr>
            <w:tcW w:w="4590" w:type="dxa"/>
            <w:tcBorders>
              <w:tl2br w:val="nil"/>
              <w:tr2bl w:val="nil"/>
            </w:tcBorders>
            <w:noWrap w:val="0"/>
            <w:vAlign w:val="center"/>
          </w:tcPr>
          <w:p w14:paraId="3CBC0E6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2.1、至少具有一套煤化工或石油化工行业次重要设备塔内件供货业绩。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950" w:type="dxa"/>
            <w:tcBorders>
              <w:tl2br w:val="nil"/>
              <w:tr2bl w:val="nil"/>
            </w:tcBorders>
            <w:noWrap w:val="0"/>
            <w:vAlign w:val="center"/>
          </w:tcPr>
          <w:p w14:paraId="73077D5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投标人或其技术支持单位应具有丰富的设计经验及计算能力，为了保证塔内件的质量和长期稳定运行效果，本次招标规定投标人的技术支持（设计）应为以下单位之一：华东理工大学、北京泽华、上海苏尔寿、北洋国家精馏、上海协升等同档次或高于所列品牌技术的标准，不具有指定或唯一的意思表示。</w:t>
            </w:r>
          </w:p>
        </w:tc>
      </w:tr>
      <w:tr w14:paraId="18770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785BFDD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w:t>
            </w:r>
          </w:p>
        </w:tc>
        <w:tc>
          <w:tcPr>
            <w:tcW w:w="1011" w:type="dxa"/>
            <w:tcBorders>
              <w:tl2br w:val="nil"/>
              <w:tr2bl w:val="nil"/>
            </w:tcBorders>
            <w:noWrap w:val="0"/>
            <w:vAlign w:val="center"/>
          </w:tcPr>
          <w:p w14:paraId="7380B05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管材-不锈钢1</w:t>
            </w:r>
          </w:p>
        </w:tc>
        <w:tc>
          <w:tcPr>
            <w:tcW w:w="2039" w:type="dxa"/>
            <w:tcBorders>
              <w:tl2br w:val="nil"/>
              <w:tr2bl w:val="nil"/>
            </w:tcBorders>
            <w:noWrap w:val="0"/>
            <w:vAlign w:val="center"/>
          </w:tcPr>
          <w:p w14:paraId="59950BA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不锈钢管无缝管</w:t>
            </w:r>
          </w:p>
        </w:tc>
        <w:tc>
          <w:tcPr>
            <w:tcW w:w="4590" w:type="dxa"/>
            <w:tcBorders>
              <w:tl2br w:val="nil"/>
              <w:tr2bl w:val="nil"/>
            </w:tcBorders>
            <w:noWrap w:val="0"/>
            <w:vAlign w:val="center"/>
          </w:tcPr>
          <w:p w14:paraId="1E09BE6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：具有特种设备生产许可证:压力管道管子B级以上。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2.1、具有一套煤化工或石油化工行业不锈钢管无缝管供货业绩。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vMerge w:val="restart"/>
            <w:tcBorders>
              <w:tl2br w:val="nil"/>
              <w:tr2bl w:val="nil"/>
            </w:tcBorders>
            <w:noWrap w:val="0"/>
            <w:vAlign w:val="center"/>
          </w:tcPr>
          <w:p w14:paraId="7262629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1.制造方需配备齐全的无损检测人员及设备。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2.具有环保处理设备：具有废酸处理装置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3.焊接操作人员持证有效期内人数≥20人                                                                                                                 </w:t>
            </w:r>
          </w:p>
        </w:tc>
      </w:tr>
      <w:tr w14:paraId="6A409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27876CD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w:t>
            </w:r>
          </w:p>
        </w:tc>
        <w:tc>
          <w:tcPr>
            <w:tcW w:w="1011" w:type="dxa"/>
            <w:tcBorders>
              <w:tl2br w:val="nil"/>
              <w:tr2bl w:val="nil"/>
            </w:tcBorders>
            <w:noWrap w:val="0"/>
            <w:vAlign w:val="center"/>
          </w:tcPr>
          <w:p w14:paraId="1A4F465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管材-不锈钢2</w:t>
            </w:r>
          </w:p>
        </w:tc>
        <w:tc>
          <w:tcPr>
            <w:tcW w:w="2039" w:type="dxa"/>
            <w:tcBorders>
              <w:tl2br w:val="nil"/>
              <w:tr2bl w:val="nil"/>
            </w:tcBorders>
            <w:noWrap w:val="0"/>
            <w:vAlign w:val="center"/>
          </w:tcPr>
          <w:p w14:paraId="792704A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不锈钢管焊接管</w:t>
            </w:r>
          </w:p>
        </w:tc>
        <w:tc>
          <w:tcPr>
            <w:tcW w:w="4590" w:type="dxa"/>
            <w:tcBorders>
              <w:tl2br w:val="nil"/>
              <w:tr2bl w:val="nil"/>
            </w:tcBorders>
            <w:noWrap w:val="0"/>
            <w:vAlign w:val="center"/>
          </w:tcPr>
          <w:p w14:paraId="6C23847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具有特种设备生产许可证:压力管道管子B级以上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2.1、具有一套煤化工或石油化工行业不锈钢管焊接管供货业绩。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vMerge w:val="continue"/>
            <w:tcBorders>
              <w:tl2br w:val="nil"/>
              <w:tr2bl w:val="nil"/>
            </w:tcBorders>
            <w:noWrap w:val="0"/>
            <w:vAlign w:val="center"/>
          </w:tcPr>
          <w:p w14:paraId="1042D213">
            <w:pPr>
              <w:jc w:val="left"/>
              <w:rPr>
                <w:rFonts w:hint="eastAsia" w:ascii="宋体" w:hAnsi="宋体" w:eastAsia="宋体" w:cs="宋体"/>
                <w:color w:val="000000"/>
                <w:sz w:val="18"/>
                <w:szCs w:val="18"/>
                <w:highlight w:val="none"/>
                <w:vertAlign w:val="baseline"/>
                <w:lang w:val="en-US"/>
              </w:rPr>
            </w:pPr>
          </w:p>
        </w:tc>
      </w:tr>
      <w:tr w14:paraId="58800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BEC9DE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w:t>
            </w:r>
          </w:p>
        </w:tc>
        <w:tc>
          <w:tcPr>
            <w:tcW w:w="1011" w:type="dxa"/>
            <w:tcBorders>
              <w:tl2br w:val="nil"/>
              <w:tr2bl w:val="nil"/>
            </w:tcBorders>
            <w:noWrap w:val="0"/>
            <w:vAlign w:val="center"/>
          </w:tcPr>
          <w:p w14:paraId="5736E68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管材-碳钢1</w:t>
            </w:r>
          </w:p>
        </w:tc>
        <w:tc>
          <w:tcPr>
            <w:tcW w:w="2039" w:type="dxa"/>
            <w:tcBorders>
              <w:tl2br w:val="nil"/>
              <w:tr2bl w:val="nil"/>
            </w:tcBorders>
            <w:noWrap w:val="0"/>
            <w:vAlign w:val="center"/>
          </w:tcPr>
          <w:p w14:paraId="022F523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碳钢金属管道无缝管</w:t>
            </w:r>
          </w:p>
        </w:tc>
        <w:tc>
          <w:tcPr>
            <w:tcW w:w="4590" w:type="dxa"/>
            <w:tcBorders>
              <w:tl2br w:val="nil"/>
              <w:tr2bl w:val="nil"/>
            </w:tcBorders>
            <w:noWrap w:val="0"/>
            <w:vAlign w:val="center"/>
          </w:tcPr>
          <w:p w14:paraId="6970199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具有特种设备生产许可证:压力管道管子B级以上。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2.1、具有一套煤化工或石油化工行业碳钢金属管道无缝管供货业绩。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950" w:type="dxa"/>
            <w:vMerge w:val="restart"/>
            <w:tcBorders>
              <w:tl2br w:val="nil"/>
              <w:tr2bl w:val="nil"/>
            </w:tcBorders>
            <w:noWrap w:val="0"/>
            <w:vAlign w:val="center"/>
          </w:tcPr>
          <w:p w14:paraId="5EAFEDA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1.制造方需配备齐全的无损检测人员及设备。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2.投标人应具有完备齐全的生产设备。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3.焊接操作人员持证有效期内人数≥20人                                                                                                                 </w:t>
            </w:r>
          </w:p>
        </w:tc>
      </w:tr>
      <w:tr w14:paraId="7D14B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E57C75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包7</w:t>
            </w:r>
          </w:p>
        </w:tc>
        <w:tc>
          <w:tcPr>
            <w:tcW w:w="1011" w:type="dxa"/>
            <w:tcBorders>
              <w:tl2br w:val="nil"/>
              <w:tr2bl w:val="nil"/>
            </w:tcBorders>
            <w:noWrap w:val="0"/>
            <w:vAlign w:val="center"/>
          </w:tcPr>
          <w:p w14:paraId="2946D7D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管材-碳钢2</w:t>
            </w:r>
          </w:p>
        </w:tc>
        <w:tc>
          <w:tcPr>
            <w:tcW w:w="2039" w:type="dxa"/>
            <w:tcBorders>
              <w:tl2br w:val="nil"/>
              <w:tr2bl w:val="nil"/>
            </w:tcBorders>
            <w:noWrap w:val="0"/>
            <w:vAlign w:val="center"/>
          </w:tcPr>
          <w:p w14:paraId="1CA51C0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碳钢金属管道焊接管</w:t>
            </w:r>
          </w:p>
        </w:tc>
        <w:tc>
          <w:tcPr>
            <w:tcW w:w="4590" w:type="dxa"/>
            <w:tcBorders>
              <w:tl2br w:val="nil"/>
              <w:tr2bl w:val="nil"/>
            </w:tcBorders>
            <w:noWrap w:val="0"/>
            <w:vAlign w:val="center"/>
          </w:tcPr>
          <w:p w14:paraId="010556A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具有特种设备生产许可证:压力管道管子B级以上。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2.1、具有一套煤化工或石油化工行业碳钢金属管道焊接管供货业绩。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950" w:type="dxa"/>
            <w:vMerge w:val="continue"/>
            <w:tcBorders>
              <w:tl2br w:val="nil"/>
              <w:tr2bl w:val="nil"/>
            </w:tcBorders>
            <w:noWrap w:val="0"/>
            <w:vAlign w:val="center"/>
          </w:tcPr>
          <w:p w14:paraId="1B2F864D">
            <w:pPr>
              <w:jc w:val="left"/>
              <w:rPr>
                <w:rFonts w:hint="eastAsia" w:ascii="宋体" w:hAnsi="宋体" w:eastAsia="宋体" w:cs="宋体"/>
                <w:color w:val="000000"/>
                <w:sz w:val="18"/>
                <w:szCs w:val="18"/>
                <w:highlight w:val="none"/>
                <w:vertAlign w:val="baseline"/>
                <w:lang w:val="en-US"/>
              </w:rPr>
            </w:pPr>
          </w:p>
        </w:tc>
      </w:tr>
      <w:tr w14:paraId="4AA3D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67F24B1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包8</w:t>
            </w:r>
          </w:p>
        </w:tc>
        <w:tc>
          <w:tcPr>
            <w:tcW w:w="1011" w:type="dxa"/>
            <w:tcBorders>
              <w:tl2br w:val="nil"/>
              <w:tr2bl w:val="nil"/>
            </w:tcBorders>
            <w:noWrap w:val="0"/>
            <w:vAlign w:val="center"/>
          </w:tcPr>
          <w:p w14:paraId="2A30699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钢骨架聚乙烯复合管</w:t>
            </w:r>
          </w:p>
        </w:tc>
        <w:tc>
          <w:tcPr>
            <w:tcW w:w="2039" w:type="dxa"/>
            <w:tcBorders>
              <w:tl2br w:val="nil"/>
              <w:tr2bl w:val="nil"/>
            </w:tcBorders>
            <w:noWrap w:val="0"/>
            <w:vAlign w:val="center"/>
          </w:tcPr>
          <w:p w14:paraId="2D336EB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钢骨架聚乙烯复合管</w:t>
            </w:r>
          </w:p>
        </w:tc>
        <w:tc>
          <w:tcPr>
            <w:tcW w:w="4590" w:type="dxa"/>
            <w:tcBorders>
              <w:tl2br w:val="nil"/>
              <w:tr2bl w:val="nil"/>
            </w:tcBorders>
            <w:noWrap w:val="0"/>
            <w:vAlign w:val="center"/>
          </w:tcPr>
          <w:p w14:paraId="2BE384E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具有特种设备生产许可证:压力管道管子B级以上。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2.1、具有一个制盐或制碱行业钢骨架聚乙烯复合管供货业绩。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tcBorders>
              <w:tl2br w:val="nil"/>
              <w:tr2bl w:val="nil"/>
            </w:tcBorders>
            <w:noWrap w:val="0"/>
            <w:vAlign w:val="center"/>
          </w:tcPr>
          <w:p w14:paraId="2C08ED6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1.产品的生产制造检验过程符合HG/T3690、HG/T3691等相关标准。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2.钢骨架聚乙烯复合管必须在制造过程中一次挤压成型，禁止使用多层或多次粘接等结构形式的管道。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3.所用工业用钢骨架聚乙烯塑料复合管和管件应采用PE100及以上等级管道专用全新原料生产，聚乙烯原料禁止采用回用料。原材料生产商应为大型一线生产企业。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4.行业内无多处泄漏质量事故记录（纯碱行业类）。</w:t>
            </w:r>
          </w:p>
        </w:tc>
      </w:tr>
      <w:tr w14:paraId="74A10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4CA8C9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包9</w:t>
            </w:r>
          </w:p>
        </w:tc>
        <w:tc>
          <w:tcPr>
            <w:tcW w:w="1011" w:type="dxa"/>
            <w:tcBorders>
              <w:tl2br w:val="nil"/>
              <w:tr2bl w:val="nil"/>
            </w:tcBorders>
            <w:noWrap w:val="0"/>
            <w:vAlign w:val="center"/>
          </w:tcPr>
          <w:p w14:paraId="4D9F905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板材1</w:t>
            </w:r>
          </w:p>
        </w:tc>
        <w:tc>
          <w:tcPr>
            <w:tcW w:w="2039" w:type="dxa"/>
            <w:tcBorders>
              <w:tl2br w:val="nil"/>
              <w:tr2bl w:val="nil"/>
            </w:tcBorders>
            <w:noWrap w:val="0"/>
            <w:vAlign w:val="center"/>
          </w:tcPr>
          <w:p w14:paraId="60AF2C3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不锈钢钢板</w:t>
            </w:r>
          </w:p>
        </w:tc>
        <w:tc>
          <w:tcPr>
            <w:tcW w:w="4590" w:type="dxa"/>
            <w:tcBorders>
              <w:tl2br w:val="nil"/>
              <w:tr2bl w:val="nil"/>
            </w:tcBorders>
            <w:noWrap w:val="0"/>
            <w:vAlign w:val="center"/>
          </w:tcPr>
          <w:p w14:paraId="741513E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2.1、具有一套煤化工或石油化工行业不锈钢钢板供货业绩。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950" w:type="dxa"/>
            <w:tcBorders>
              <w:tl2br w:val="nil"/>
              <w:tr2bl w:val="nil"/>
            </w:tcBorders>
            <w:noWrap w:val="0"/>
            <w:vAlign w:val="center"/>
          </w:tcPr>
          <w:p w14:paraId="31CBBB0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‌1.拥有电炉、AOD转炉、VOD炉、LF炉等全套炼钢产线设备满足产能需求。</w:t>
            </w:r>
          </w:p>
        </w:tc>
      </w:tr>
      <w:tr w14:paraId="6E165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141B054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包10</w:t>
            </w:r>
          </w:p>
        </w:tc>
        <w:tc>
          <w:tcPr>
            <w:tcW w:w="1011" w:type="dxa"/>
            <w:tcBorders>
              <w:tl2br w:val="nil"/>
              <w:tr2bl w:val="nil"/>
            </w:tcBorders>
            <w:noWrap w:val="0"/>
            <w:vAlign w:val="center"/>
          </w:tcPr>
          <w:p w14:paraId="624C9A9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板材2</w:t>
            </w:r>
          </w:p>
        </w:tc>
        <w:tc>
          <w:tcPr>
            <w:tcW w:w="2039" w:type="dxa"/>
            <w:tcBorders>
              <w:tl2br w:val="nil"/>
              <w:tr2bl w:val="nil"/>
            </w:tcBorders>
            <w:noWrap w:val="0"/>
            <w:vAlign w:val="center"/>
          </w:tcPr>
          <w:p w14:paraId="3D724DE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碳钢钢板</w:t>
            </w:r>
          </w:p>
        </w:tc>
        <w:tc>
          <w:tcPr>
            <w:tcW w:w="4590" w:type="dxa"/>
            <w:tcBorders>
              <w:tl2br w:val="nil"/>
              <w:tr2bl w:val="nil"/>
            </w:tcBorders>
            <w:noWrap w:val="0"/>
            <w:vAlign w:val="center"/>
          </w:tcPr>
          <w:p w14:paraId="593D6AE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2.1、具有一套煤化工或石油化工行业碳钢钢板供货业绩。</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950" w:type="dxa"/>
            <w:tcBorders>
              <w:tl2br w:val="nil"/>
              <w:tr2bl w:val="nil"/>
            </w:tcBorders>
            <w:noWrap w:val="0"/>
            <w:vAlign w:val="center"/>
          </w:tcPr>
          <w:p w14:paraId="036AADC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1.力学试验‌：拉伸、弯曲及冲击试验需符合标准（如GB/T228-2010等相关试验标准）。表面质量‌：无裂纹、折叠等缺陷，部分场景需探伤检测。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2.拥有电炉、AOD转炉、VOD炉、LF炉等全套炼钢产线设备满足产能需求。</w:t>
            </w:r>
          </w:p>
        </w:tc>
      </w:tr>
      <w:tr w14:paraId="20637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3B436C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包11</w:t>
            </w:r>
          </w:p>
        </w:tc>
        <w:tc>
          <w:tcPr>
            <w:tcW w:w="1011" w:type="dxa"/>
            <w:tcBorders>
              <w:tl2br w:val="nil"/>
              <w:tr2bl w:val="nil"/>
            </w:tcBorders>
            <w:noWrap w:val="0"/>
            <w:vAlign w:val="center"/>
          </w:tcPr>
          <w:p w14:paraId="3F4813F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不锈钢复合板</w:t>
            </w:r>
          </w:p>
        </w:tc>
        <w:tc>
          <w:tcPr>
            <w:tcW w:w="2039" w:type="dxa"/>
            <w:tcBorders>
              <w:tl2br w:val="nil"/>
              <w:tr2bl w:val="nil"/>
            </w:tcBorders>
            <w:noWrap w:val="0"/>
            <w:vAlign w:val="center"/>
          </w:tcPr>
          <w:p w14:paraId="1A1AD7A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不锈钢复合板</w:t>
            </w:r>
          </w:p>
        </w:tc>
        <w:tc>
          <w:tcPr>
            <w:tcW w:w="4590" w:type="dxa"/>
            <w:tcBorders>
              <w:tl2br w:val="nil"/>
              <w:tr2bl w:val="nil"/>
            </w:tcBorders>
            <w:noWrap w:val="0"/>
            <w:vAlign w:val="center"/>
          </w:tcPr>
          <w:p w14:paraId="545A581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：具有爆炸单位作业许可证。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2.1、具有一套煤化工或石油化工行业不锈钢复合板供货业绩。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tcBorders>
              <w:tl2br w:val="nil"/>
              <w:tr2bl w:val="nil"/>
            </w:tcBorders>
            <w:noWrap w:val="0"/>
            <w:vAlign w:val="center"/>
          </w:tcPr>
          <w:p w14:paraId="42CC6D9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1.界面结合强度高，剪切强度可以达400MPA，可实现多种金属复合，结合多种金属复合板，如，钛、铜、铝等等。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2.界面结合率不小于99％。</w:t>
            </w:r>
          </w:p>
        </w:tc>
      </w:tr>
      <w:tr w14:paraId="7E609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77C4BE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包12</w:t>
            </w:r>
          </w:p>
        </w:tc>
        <w:tc>
          <w:tcPr>
            <w:tcW w:w="1011" w:type="dxa"/>
            <w:tcBorders>
              <w:tl2br w:val="nil"/>
              <w:tr2bl w:val="nil"/>
            </w:tcBorders>
            <w:noWrap w:val="0"/>
            <w:vAlign w:val="center"/>
          </w:tcPr>
          <w:p w14:paraId="1E1A1A7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管件1</w:t>
            </w:r>
          </w:p>
        </w:tc>
        <w:tc>
          <w:tcPr>
            <w:tcW w:w="2039" w:type="dxa"/>
            <w:tcBorders>
              <w:tl2br w:val="nil"/>
              <w:tr2bl w:val="nil"/>
            </w:tcBorders>
            <w:noWrap w:val="0"/>
            <w:vAlign w:val="center"/>
          </w:tcPr>
          <w:p w14:paraId="4DFE110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高中低压不锈钢管件（含弯头、三通、法兰、异径管等）</w:t>
            </w:r>
          </w:p>
        </w:tc>
        <w:tc>
          <w:tcPr>
            <w:tcW w:w="4590" w:type="dxa"/>
            <w:tcBorders>
              <w:tl2br w:val="nil"/>
              <w:tr2bl w:val="nil"/>
            </w:tcBorders>
            <w:noWrap w:val="0"/>
            <w:vAlign w:val="center"/>
          </w:tcPr>
          <w:p w14:paraId="2B651D1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t>：具有压力管道元件制造许可证：特种设备生产许可证：无缝管件（A，B）/有缝管件（A，B）。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2.1、具有一套煤化工或石油化工行业高中低压不锈钢管件（含弯头、三通、法兰、异径管等）供货业绩。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vMerge w:val="restart"/>
            <w:tcBorders>
              <w:tl2br w:val="nil"/>
              <w:tr2bl w:val="nil"/>
            </w:tcBorders>
            <w:noWrap w:val="0"/>
            <w:vAlign w:val="center"/>
          </w:tcPr>
          <w:p w14:paraId="638EF63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1.作为母材钢板、钢管及成品管件本体上的缺陷不允许采用补焊的方法进行修复。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2.除管帽外，无缝对焊管件应由无缝钢管制成。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3.用于制作管件的原材料必须为优质钢及压力容器钢，严禁采用其他用途的原材料制作管件。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4.管件的流通面积至少为同规格钢管的95%。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5.管件应符合相关GB/T-12459-2005等相关标准。</w:t>
            </w:r>
          </w:p>
        </w:tc>
      </w:tr>
      <w:tr w14:paraId="16D61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EAC4DC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包13</w:t>
            </w:r>
          </w:p>
        </w:tc>
        <w:tc>
          <w:tcPr>
            <w:tcW w:w="1011" w:type="dxa"/>
            <w:tcBorders>
              <w:tl2br w:val="nil"/>
              <w:tr2bl w:val="nil"/>
            </w:tcBorders>
            <w:noWrap w:val="0"/>
            <w:vAlign w:val="center"/>
          </w:tcPr>
          <w:p w14:paraId="3C88B66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管件2</w:t>
            </w:r>
          </w:p>
        </w:tc>
        <w:tc>
          <w:tcPr>
            <w:tcW w:w="2039" w:type="dxa"/>
            <w:tcBorders>
              <w:tl2br w:val="nil"/>
              <w:tr2bl w:val="nil"/>
            </w:tcBorders>
            <w:noWrap w:val="0"/>
            <w:vAlign w:val="center"/>
          </w:tcPr>
          <w:p w14:paraId="237103F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高中低压碳钢管件（含弯头、三通、法兰、异径管等）</w:t>
            </w:r>
          </w:p>
        </w:tc>
        <w:tc>
          <w:tcPr>
            <w:tcW w:w="4590" w:type="dxa"/>
            <w:tcBorders>
              <w:tl2br w:val="nil"/>
              <w:tr2bl w:val="nil"/>
            </w:tcBorders>
            <w:noWrap w:val="0"/>
            <w:vAlign w:val="center"/>
          </w:tcPr>
          <w:p w14:paraId="74CE42B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：具有压力管道元件制造许可证：特种设备生产许可证：无缝管件（A，B）/有缝管件（A，B）。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2.1、具有一套煤化工或石油化工行业高中低压碳钢管件（含弯头、三通、法兰、异径管等）供货业绩。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vMerge w:val="continue"/>
            <w:tcBorders>
              <w:tl2br w:val="nil"/>
              <w:tr2bl w:val="nil"/>
            </w:tcBorders>
            <w:noWrap w:val="0"/>
            <w:vAlign w:val="center"/>
          </w:tcPr>
          <w:p w14:paraId="3AB4DA57">
            <w:pPr>
              <w:jc w:val="left"/>
              <w:rPr>
                <w:rFonts w:hint="eastAsia" w:ascii="宋体" w:hAnsi="宋体" w:eastAsia="宋体" w:cs="宋体"/>
                <w:color w:val="000000"/>
                <w:sz w:val="18"/>
                <w:szCs w:val="18"/>
                <w:highlight w:val="none"/>
                <w:vertAlign w:val="baseline"/>
                <w:lang w:val="en-US"/>
              </w:rPr>
            </w:pPr>
          </w:p>
        </w:tc>
      </w:tr>
      <w:tr w14:paraId="559D5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220B51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包14</w:t>
            </w:r>
          </w:p>
        </w:tc>
        <w:tc>
          <w:tcPr>
            <w:tcW w:w="1011" w:type="dxa"/>
            <w:tcBorders>
              <w:tl2br w:val="nil"/>
              <w:tr2bl w:val="nil"/>
            </w:tcBorders>
            <w:noWrap w:val="0"/>
            <w:vAlign w:val="center"/>
          </w:tcPr>
          <w:p w14:paraId="7DD43DE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膨胀节</w:t>
            </w:r>
          </w:p>
        </w:tc>
        <w:tc>
          <w:tcPr>
            <w:tcW w:w="2039" w:type="dxa"/>
            <w:tcBorders>
              <w:tl2br w:val="nil"/>
              <w:tr2bl w:val="nil"/>
            </w:tcBorders>
            <w:noWrap w:val="0"/>
            <w:vAlign w:val="center"/>
          </w:tcPr>
          <w:p w14:paraId="6882051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膨胀节</w:t>
            </w:r>
          </w:p>
        </w:tc>
        <w:tc>
          <w:tcPr>
            <w:tcW w:w="4590" w:type="dxa"/>
            <w:tcBorders>
              <w:tl2br w:val="nil"/>
              <w:tr2bl w:val="nil"/>
            </w:tcBorders>
            <w:noWrap w:val="0"/>
            <w:vAlign w:val="center"/>
          </w:tcPr>
          <w:p w14:paraId="06F7EE7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1.具有特种设备生产许可证：压力管道元件制造B1级金属波纹膨胀节和元件组合装置制造资质；B1级金属波纹膨胀节制造资质。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2.具有有效期内的ASME”U2”钢印认证。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2.1、具有一套煤化工或石油化工行业膨胀节供货业绩。</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tcBorders>
              <w:tl2br w:val="nil"/>
              <w:tr2bl w:val="nil"/>
            </w:tcBorders>
            <w:noWrap w:val="0"/>
            <w:vAlign w:val="center"/>
          </w:tcPr>
          <w:p w14:paraId="4EAD52C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1.检验产品时须持有按《TSG D7006-2020压力管道监督检验规则》等相关规定出具的型式试验报告，型式试验报告应在有效期内，并能覆盖请购文件中标的物。</w:t>
            </w:r>
          </w:p>
        </w:tc>
      </w:tr>
      <w:tr w14:paraId="12C26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6C966AB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包15</w:t>
            </w:r>
          </w:p>
        </w:tc>
        <w:tc>
          <w:tcPr>
            <w:tcW w:w="1011" w:type="dxa"/>
            <w:tcBorders>
              <w:tl2br w:val="nil"/>
              <w:tr2bl w:val="nil"/>
            </w:tcBorders>
            <w:noWrap w:val="0"/>
            <w:vAlign w:val="center"/>
          </w:tcPr>
          <w:p w14:paraId="566F6FD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弹簧支架</w:t>
            </w:r>
          </w:p>
        </w:tc>
        <w:tc>
          <w:tcPr>
            <w:tcW w:w="2039" w:type="dxa"/>
            <w:tcBorders>
              <w:tl2br w:val="nil"/>
              <w:tr2bl w:val="nil"/>
            </w:tcBorders>
            <w:noWrap w:val="0"/>
            <w:vAlign w:val="center"/>
          </w:tcPr>
          <w:p w14:paraId="47ADE32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弹簧支架</w:t>
            </w:r>
          </w:p>
        </w:tc>
        <w:tc>
          <w:tcPr>
            <w:tcW w:w="4590" w:type="dxa"/>
            <w:tcBorders>
              <w:tl2br w:val="nil"/>
              <w:tr2bl w:val="nil"/>
            </w:tcBorders>
            <w:noWrap w:val="0"/>
            <w:vAlign w:val="center"/>
          </w:tcPr>
          <w:p w14:paraId="3A9000C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2.1、具有一套煤化工或石油化工行业弹簧支架供货业绩。</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r>
              <w:rPr>
                <w:rFonts w:hint="eastAsia" w:ascii="宋体" w:hAnsi="宋体" w:eastAsia="宋体" w:cs="宋体"/>
                <w:b/>
                <w:bCs/>
                <w:i w:val="0"/>
                <w:iCs w:val="0"/>
                <w:color w:val="000000"/>
                <w:kern w:val="0"/>
                <w:sz w:val="18"/>
                <w:szCs w:val="18"/>
                <w:highlight w:val="none"/>
                <w:u w:val="none"/>
                <w:lang w:val="en-US" w:eastAsia="zh-CN" w:bidi="ar"/>
              </w:rPr>
              <w:t>。</w:t>
            </w:r>
          </w:p>
        </w:tc>
        <w:tc>
          <w:tcPr>
            <w:tcW w:w="5950" w:type="dxa"/>
            <w:vMerge w:val="restart"/>
            <w:tcBorders>
              <w:tl2br w:val="nil"/>
              <w:tr2bl w:val="nil"/>
            </w:tcBorders>
            <w:noWrap w:val="0"/>
            <w:vAlign w:val="center"/>
          </w:tcPr>
          <w:p w14:paraId="79AB15E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1.管道支吊架用材料应附有材料生产厂商的材料质量证明文件，同时具备复验原材料的试验设备。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2.具备弹簧防腐能力，如采用电镀防腐蚀方式，弹簧的最大需用工作应力要降低15%，且具备防止脆裂工艺。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3.钢材的使用温度不应超过各钢号的许用应力值的最高温度。</w:t>
            </w:r>
          </w:p>
        </w:tc>
      </w:tr>
      <w:tr w14:paraId="29703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31F095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包16</w:t>
            </w:r>
          </w:p>
        </w:tc>
        <w:tc>
          <w:tcPr>
            <w:tcW w:w="1011" w:type="dxa"/>
            <w:tcBorders>
              <w:tl2br w:val="nil"/>
              <w:tr2bl w:val="nil"/>
            </w:tcBorders>
            <w:noWrap w:val="0"/>
            <w:vAlign w:val="center"/>
          </w:tcPr>
          <w:p w14:paraId="72C1F89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管托/支吊架</w:t>
            </w:r>
          </w:p>
        </w:tc>
        <w:tc>
          <w:tcPr>
            <w:tcW w:w="2039" w:type="dxa"/>
            <w:tcBorders>
              <w:tl2br w:val="nil"/>
              <w:tr2bl w:val="nil"/>
            </w:tcBorders>
            <w:noWrap w:val="0"/>
            <w:vAlign w:val="center"/>
          </w:tcPr>
          <w:p w14:paraId="58BF7E1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管托/支吊架</w:t>
            </w:r>
          </w:p>
        </w:tc>
        <w:tc>
          <w:tcPr>
            <w:tcW w:w="4590" w:type="dxa"/>
            <w:tcBorders>
              <w:tl2br w:val="nil"/>
              <w:tr2bl w:val="nil"/>
            </w:tcBorders>
            <w:noWrap w:val="0"/>
            <w:vAlign w:val="center"/>
          </w:tcPr>
          <w:p w14:paraId="75BF676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2.1、具有一套煤化工或石油化工行业管托/支吊架供货业绩。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eastAsia="宋体" w:cs="宋体"/>
                <w:b/>
                <w:bCs/>
                <w:i w:val="0"/>
                <w:iCs w:val="0"/>
                <w:color w:val="000000"/>
                <w:kern w:val="0"/>
                <w:sz w:val="18"/>
                <w:szCs w:val="18"/>
                <w:highlight w:val="none"/>
                <w:u w:val="none"/>
                <w:lang w:val="en-US" w:eastAsia="zh-CN" w:bidi="ar"/>
              </w:rPr>
              <w:t>、本项目接受：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950" w:type="dxa"/>
            <w:vMerge w:val="continue"/>
            <w:tcBorders>
              <w:tl2br w:val="nil"/>
              <w:tr2bl w:val="nil"/>
            </w:tcBorders>
            <w:noWrap w:val="0"/>
            <w:vAlign w:val="center"/>
          </w:tcPr>
          <w:p w14:paraId="2FD916B3">
            <w:pPr>
              <w:jc w:val="left"/>
              <w:rPr>
                <w:rFonts w:hint="eastAsia" w:ascii="宋体" w:hAnsi="宋体" w:eastAsia="宋体" w:cs="宋体"/>
                <w:color w:val="000000"/>
                <w:sz w:val="18"/>
                <w:szCs w:val="18"/>
                <w:highlight w:val="none"/>
                <w:vertAlign w:val="baseline"/>
                <w:lang w:val="en-US"/>
              </w:rPr>
            </w:pPr>
          </w:p>
        </w:tc>
      </w:tr>
      <w:tr w14:paraId="52A04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24CD26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包17</w:t>
            </w:r>
          </w:p>
        </w:tc>
        <w:tc>
          <w:tcPr>
            <w:tcW w:w="1011" w:type="dxa"/>
            <w:tcBorders>
              <w:tl2br w:val="nil"/>
              <w:tr2bl w:val="nil"/>
            </w:tcBorders>
            <w:noWrap w:val="0"/>
            <w:vAlign w:val="center"/>
          </w:tcPr>
          <w:p w14:paraId="0EFAC77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紧固件1</w:t>
            </w:r>
          </w:p>
        </w:tc>
        <w:tc>
          <w:tcPr>
            <w:tcW w:w="2039" w:type="dxa"/>
            <w:tcBorders>
              <w:tl2br w:val="nil"/>
              <w:tr2bl w:val="nil"/>
            </w:tcBorders>
            <w:noWrap w:val="0"/>
            <w:vAlign w:val="center"/>
          </w:tcPr>
          <w:p w14:paraId="31AADC7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全螺纹防腐螺栓</w:t>
            </w:r>
          </w:p>
        </w:tc>
        <w:tc>
          <w:tcPr>
            <w:tcW w:w="4590" w:type="dxa"/>
            <w:tcBorders>
              <w:tl2br w:val="nil"/>
              <w:tr2bl w:val="nil"/>
            </w:tcBorders>
            <w:noWrap w:val="0"/>
            <w:vAlign w:val="center"/>
          </w:tcPr>
          <w:p w14:paraId="7E3D0EC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2.1、具有一套煤化工或石油化工行业全螺纹防腐螺栓供货业绩。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tcBorders>
              <w:tl2br w:val="nil"/>
              <w:tr2bl w:val="nil"/>
            </w:tcBorders>
            <w:noWrap w:val="0"/>
            <w:vAlign w:val="top"/>
          </w:tcPr>
          <w:p w14:paraId="4E3F406F">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1、生产防腐涂层紧固件的要求</w:t>
            </w:r>
            <w:r>
              <w:rPr>
                <w:rFonts w:hint="eastAsia" w:ascii="宋体" w:hAnsi="宋体" w:eastAsia="宋体" w:cs="宋体"/>
                <w:i w:val="0"/>
                <w:iCs w:val="0"/>
                <w:color w:val="000000"/>
                <w:kern w:val="0"/>
                <w:sz w:val="18"/>
                <w:szCs w:val="18"/>
                <w:highlight w:val="none"/>
                <w:u w:val="none"/>
                <w:bdr w:val="single" w:color="000000" w:sz="4" w:space="0"/>
                <w:lang w:val="en-US" w:eastAsia="zh-CN" w:bidi="ar"/>
              </w:rPr>
              <w:drawing>
                <wp:inline distT="0" distB="0" distL="114300" distR="114300">
                  <wp:extent cx="3641090" cy="2051685"/>
                  <wp:effectExtent l="0" t="0" r="16510" b="571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stretch>
                            <a:fillRect/>
                          </a:stretch>
                        </pic:blipFill>
                        <pic:spPr>
                          <a:xfrm>
                            <a:off x="0" y="0"/>
                            <a:ext cx="3641090" cy="2051685"/>
                          </a:xfrm>
                          <a:prstGeom prst="rect">
                            <a:avLst/>
                          </a:prstGeom>
                          <a:noFill/>
                          <a:ln>
                            <a:noFill/>
                          </a:ln>
                        </pic:spPr>
                      </pic:pic>
                    </a:graphicData>
                  </a:graphic>
                </wp:inline>
              </w:drawing>
            </w: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3C414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6CF19A5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包18</w:t>
            </w:r>
          </w:p>
        </w:tc>
        <w:tc>
          <w:tcPr>
            <w:tcW w:w="1011" w:type="dxa"/>
            <w:tcBorders>
              <w:tl2br w:val="nil"/>
              <w:tr2bl w:val="nil"/>
            </w:tcBorders>
            <w:noWrap w:val="0"/>
            <w:vAlign w:val="center"/>
          </w:tcPr>
          <w:p w14:paraId="43BDDE0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紧固件2</w:t>
            </w:r>
          </w:p>
        </w:tc>
        <w:tc>
          <w:tcPr>
            <w:tcW w:w="2039" w:type="dxa"/>
            <w:tcBorders>
              <w:tl2br w:val="nil"/>
              <w:tr2bl w:val="nil"/>
            </w:tcBorders>
            <w:noWrap w:val="0"/>
            <w:vAlign w:val="center"/>
          </w:tcPr>
          <w:p w14:paraId="480E7A1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一般紧固件</w:t>
            </w:r>
          </w:p>
        </w:tc>
        <w:tc>
          <w:tcPr>
            <w:tcW w:w="4590" w:type="dxa"/>
            <w:tcBorders>
              <w:tl2br w:val="nil"/>
              <w:tr2bl w:val="nil"/>
            </w:tcBorders>
            <w:noWrap w:val="0"/>
            <w:vAlign w:val="center"/>
          </w:tcPr>
          <w:p w14:paraId="1D67F3B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2.1、具有一套煤化工或石油化工行业一般紧固件供货业绩。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950" w:type="dxa"/>
            <w:tcBorders>
              <w:tl2br w:val="nil"/>
              <w:tr2bl w:val="nil"/>
            </w:tcBorders>
            <w:noWrap w:val="0"/>
            <w:vAlign w:val="center"/>
          </w:tcPr>
          <w:p w14:paraId="24373E2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符合以下等相关规定：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HG/T 20613: 钢制管法兰用紧固件(PN系列)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HG/T 20634: 钢制管法兰用紧固件(美洲体系) </w:t>
            </w:r>
          </w:p>
        </w:tc>
      </w:tr>
      <w:tr w14:paraId="5FD30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2C90407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包19</w:t>
            </w:r>
          </w:p>
        </w:tc>
        <w:tc>
          <w:tcPr>
            <w:tcW w:w="1011" w:type="dxa"/>
            <w:tcBorders>
              <w:tl2br w:val="nil"/>
              <w:tr2bl w:val="nil"/>
            </w:tcBorders>
            <w:noWrap w:val="0"/>
            <w:vAlign w:val="center"/>
          </w:tcPr>
          <w:p w14:paraId="42B814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垫片</w:t>
            </w:r>
          </w:p>
        </w:tc>
        <w:tc>
          <w:tcPr>
            <w:tcW w:w="2039" w:type="dxa"/>
            <w:tcBorders>
              <w:tl2br w:val="nil"/>
              <w:tr2bl w:val="nil"/>
            </w:tcBorders>
            <w:noWrap w:val="0"/>
            <w:vAlign w:val="center"/>
          </w:tcPr>
          <w:p w14:paraId="358CE2A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垫片</w:t>
            </w:r>
          </w:p>
        </w:tc>
        <w:tc>
          <w:tcPr>
            <w:tcW w:w="4590" w:type="dxa"/>
            <w:tcBorders>
              <w:tl2br w:val="nil"/>
              <w:tr2bl w:val="nil"/>
            </w:tcBorders>
            <w:noWrap w:val="0"/>
            <w:vAlign w:val="center"/>
          </w:tcPr>
          <w:p w14:paraId="1684532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2.1、具有一套煤化工或石油化工行业垫片供货业绩。</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950" w:type="dxa"/>
            <w:tcBorders>
              <w:tl2br w:val="nil"/>
              <w:tr2bl w:val="nil"/>
            </w:tcBorders>
            <w:noWrap w:val="0"/>
            <w:vAlign w:val="center"/>
          </w:tcPr>
          <w:p w14:paraId="74B1AD9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1、生产企业供货时需要提供材质证明书，证明所使用的材料符合相关标准和规定。材质证明书通常包括材料的化学成分、机械性能、物理性能等关键指标。</w:t>
            </w:r>
          </w:p>
        </w:tc>
      </w:tr>
      <w:tr w14:paraId="47A26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26AFF2F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包20</w:t>
            </w:r>
          </w:p>
        </w:tc>
        <w:tc>
          <w:tcPr>
            <w:tcW w:w="1011" w:type="dxa"/>
            <w:tcBorders>
              <w:tl2br w:val="nil"/>
              <w:tr2bl w:val="nil"/>
            </w:tcBorders>
            <w:noWrap w:val="0"/>
            <w:vAlign w:val="center"/>
          </w:tcPr>
          <w:p w14:paraId="109CA62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焊材</w:t>
            </w:r>
          </w:p>
        </w:tc>
        <w:tc>
          <w:tcPr>
            <w:tcW w:w="2039" w:type="dxa"/>
            <w:tcBorders>
              <w:tl2br w:val="nil"/>
              <w:tr2bl w:val="nil"/>
            </w:tcBorders>
            <w:noWrap w:val="0"/>
            <w:vAlign w:val="center"/>
          </w:tcPr>
          <w:p w14:paraId="4BBBCF1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焊材</w:t>
            </w:r>
          </w:p>
        </w:tc>
        <w:tc>
          <w:tcPr>
            <w:tcW w:w="4590" w:type="dxa"/>
            <w:tcBorders>
              <w:tl2br w:val="nil"/>
              <w:tr2bl w:val="nil"/>
            </w:tcBorders>
            <w:noWrap w:val="0"/>
            <w:vAlign w:val="center"/>
          </w:tcPr>
          <w:p w14:paraId="30A4C36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2.1、具有一套煤化工或石油化工行业焊材供货业绩。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950" w:type="dxa"/>
            <w:tcBorders>
              <w:tl2br w:val="nil"/>
              <w:tr2bl w:val="nil"/>
            </w:tcBorders>
            <w:noWrap w:val="0"/>
            <w:vAlign w:val="center"/>
          </w:tcPr>
          <w:p w14:paraId="4D6FB4F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1、生产企业供货时需单独出具质量证明文件，涵盖化学成分、力学性能等关键指标检测数据，证书由生产厂商随货提供。</w:t>
            </w:r>
          </w:p>
        </w:tc>
      </w:tr>
      <w:tr w14:paraId="39A8B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725D98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包21</w:t>
            </w:r>
          </w:p>
        </w:tc>
        <w:tc>
          <w:tcPr>
            <w:tcW w:w="1011" w:type="dxa"/>
            <w:tcBorders>
              <w:tl2br w:val="nil"/>
              <w:tr2bl w:val="nil"/>
            </w:tcBorders>
            <w:noWrap w:val="0"/>
            <w:vAlign w:val="center"/>
          </w:tcPr>
          <w:p w14:paraId="20F27B5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钢结构屋墙面维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护系统</w:t>
            </w:r>
          </w:p>
        </w:tc>
        <w:tc>
          <w:tcPr>
            <w:tcW w:w="2039" w:type="dxa"/>
            <w:tcBorders>
              <w:tl2br w:val="nil"/>
              <w:tr2bl w:val="nil"/>
            </w:tcBorders>
            <w:noWrap w:val="0"/>
            <w:vAlign w:val="center"/>
          </w:tcPr>
          <w:p w14:paraId="1B3CA21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钢结构屋墙面维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护系统</w:t>
            </w:r>
          </w:p>
        </w:tc>
        <w:tc>
          <w:tcPr>
            <w:tcW w:w="4590" w:type="dxa"/>
            <w:tcBorders>
              <w:tl2br w:val="nil"/>
              <w:tr2bl w:val="nil"/>
            </w:tcBorders>
            <w:noWrap w:val="0"/>
            <w:vAlign w:val="center"/>
          </w:tcPr>
          <w:p w14:paraId="0E75470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1.1具有建筑工程施工总承包贰级（含贰级）及以上资质，安全生产许可证处于有效期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1.2具有钢结构工程设计专项甲级资质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1.3具有钢结构工程专业承包一级资质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1.4具有建筑金属屋墙面设计与施工特级资质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具有一项钢结构屋墙面维护系统类似工程业绩，合同内容涵盖建筑类型、建筑面积、单项合同额等。</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近两年（近两年是指：2023年5月1日至投标文件截止时间）</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5950" w:type="dxa"/>
            <w:tcBorders>
              <w:tl2br w:val="nil"/>
              <w:tr2bl w:val="nil"/>
            </w:tcBorders>
            <w:noWrap w:val="0"/>
            <w:vAlign w:val="center"/>
          </w:tcPr>
          <w:p w14:paraId="2324E25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1、屋面、墙面材料保温材料及施工按行业标准执行；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2、屋面顶板（外板）参考博思格、烨辉、宝钢等同档次或高于所列品牌技术标准的材料选择。不具有指定或唯一的意思表示。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3、屋面内板及墙面板参考烨辉、博思格、湖北高正、宝山钢铁、杭萧钢构等同档次或高于所列品牌技术标准的材料选择。不具有指定或唯一的意思表示。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4、不锈钢自攻钉参考喜利得、慧鱼、实保威、OMG、百密得等同档次或高于所列品牌技术标准的材料选择。不具有指定或唯一的意思表示。</w:t>
            </w:r>
          </w:p>
        </w:tc>
      </w:tr>
      <w:tr w14:paraId="71EDE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1623004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包22</w:t>
            </w:r>
          </w:p>
        </w:tc>
        <w:tc>
          <w:tcPr>
            <w:tcW w:w="1011" w:type="dxa"/>
            <w:tcBorders>
              <w:tl2br w:val="nil"/>
              <w:tr2bl w:val="nil"/>
            </w:tcBorders>
            <w:noWrap w:val="0"/>
            <w:vAlign w:val="center"/>
          </w:tcPr>
          <w:p w14:paraId="6D0E6BB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钢结构部分主结构（含管廊钢构）</w:t>
            </w:r>
          </w:p>
        </w:tc>
        <w:tc>
          <w:tcPr>
            <w:tcW w:w="2039" w:type="dxa"/>
            <w:tcBorders>
              <w:tl2br w:val="nil"/>
              <w:tr2bl w:val="nil"/>
            </w:tcBorders>
            <w:noWrap w:val="0"/>
            <w:vAlign w:val="center"/>
          </w:tcPr>
          <w:p w14:paraId="3355071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钢结构部分主结构（含管廊钢构）</w:t>
            </w:r>
          </w:p>
        </w:tc>
        <w:tc>
          <w:tcPr>
            <w:tcW w:w="4590" w:type="dxa"/>
            <w:tcBorders>
              <w:tl2br w:val="nil"/>
              <w:tr2bl w:val="nil"/>
            </w:tcBorders>
            <w:noWrap w:val="0"/>
            <w:vAlign w:val="center"/>
          </w:tcPr>
          <w:p w14:paraId="45D7FDF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具有钢结构专业承包壹级。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具有一套煤化工或石油化工行业钢结构部分主结构（含管廊钢构）供货业绩。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424239F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1.钢材的屈服强度实测值与抗拉强度实测值的比值不应大于0.85，钢材应有明显的屈服台阶，且伸长率不应小于20%，具有良好的焊接性和合格的冲击韧性‌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2.‌一级焊缝‌：用于承受动载且需疲劳验算的横向对接焊缝（如重级吊车梁翼缘连接），需100%无损检测。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‌二级焊缝‌：纵向对接焊缝或受压构件焊缝，按20%比例抽检。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‌三级焊缝‌：次要构件或静载结构，允许存在轻微未焊满但需满足尺寸偏差。</w:t>
            </w:r>
          </w:p>
        </w:tc>
      </w:tr>
      <w:tr w14:paraId="1367F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B27C8A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包23</w:t>
            </w:r>
          </w:p>
        </w:tc>
        <w:tc>
          <w:tcPr>
            <w:tcW w:w="1011" w:type="dxa"/>
            <w:tcBorders>
              <w:tl2br w:val="nil"/>
              <w:tr2bl w:val="nil"/>
            </w:tcBorders>
            <w:noWrap w:val="0"/>
            <w:vAlign w:val="center"/>
          </w:tcPr>
          <w:p w14:paraId="522F93E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减温减压器1</w:t>
            </w:r>
          </w:p>
        </w:tc>
        <w:tc>
          <w:tcPr>
            <w:tcW w:w="2039" w:type="dxa"/>
            <w:tcBorders>
              <w:tl2br w:val="nil"/>
              <w:tr2bl w:val="nil"/>
            </w:tcBorders>
            <w:noWrap w:val="0"/>
            <w:vAlign w:val="center"/>
          </w:tcPr>
          <w:p w14:paraId="01723CE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减温减压器（进口压力9.8Mpa，含控制系统）</w:t>
            </w:r>
          </w:p>
        </w:tc>
        <w:tc>
          <w:tcPr>
            <w:tcW w:w="4590" w:type="dxa"/>
            <w:tcBorders>
              <w:tl2br w:val="nil"/>
              <w:tr2bl w:val="nil"/>
            </w:tcBorders>
            <w:noWrap w:val="0"/>
            <w:vAlign w:val="center"/>
          </w:tcPr>
          <w:p w14:paraId="5D4AAE9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具有一个制造300T/h以上超高压同等业绩。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制造商的投标和代理商的投标（如允许代理商投标的，一个制造商的设备，仅能委托一个代理商参加投标）。              </w:t>
            </w:r>
          </w:p>
        </w:tc>
        <w:tc>
          <w:tcPr>
            <w:tcW w:w="5950" w:type="dxa"/>
            <w:vMerge w:val="restart"/>
            <w:tcBorders>
              <w:tl2br w:val="nil"/>
              <w:tr2bl w:val="nil"/>
            </w:tcBorders>
            <w:noWrap w:val="0"/>
            <w:vAlign w:val="center"/>
          </w:tcPr>
          <w:p w14:paraId="762B7F5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1、有制造、检测13Mpa以上超高压等级的设备；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2、阀体为锻件，结构为整体式；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3、阀芯采用平衡式结构，有喷水雾化装置，配备有混合装置。</w:t>
            </w:r>
          </w:p>
        </w:tc>
      </w:tr>
      <w:tr w14:paraId="15454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6E3787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包24</w:t>
            </w:r>
          </w:p>
        </w:tc>
        <w:tc>
          <w:tcPr>
            <w:tcW w:w="1011" w:type="dxa"/>
            <w:tcBorders>
              <w:tl2br w:val="nil"/>
              <w:tr2bl w:val="nil"/>
            </w:tcBorders>
            <w:noWrap w:val="0"/>
            <w:vAlign w:val="center"/>
          </w:tcPr>
          <w:p w14:paraId="601BADE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减温减压器2</w:t>
            </w:r>
          </w:p>
        </w:tc>
        <w:tc>
          <w:tcPr>
            <w:tcW w:w="2039" w:type="dxa"/>
            <w:tcBorders>
              <w:tl2br w:val="nil"/>
              <w:tr2bl w:val="nil"/>
            </w:tcBorders>
            <w:noWrap w:val="0"/>
            <w:vAlign w:val="center"/>
          </w:tcPr>
          <w:p w14:paraId="245FB38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减温减压器（进口压力3.5Mpa及以下，含控制系统）</w:t>
            </w:r>
          </w:p>
        </w:tc>
        <w:tc>
          <w:tcPr>
            <w:tcW w:w="4590" w:type="dxa"/>
            <w:tcBorders>
              <w:tl2br w:val="nil"/>
              <w:tr2bl w:val="nil"/>
            </w:tcBorders>
            <w:noWrap w:val="0"/>
            <w:vAlign w:val="center"/>
          </w:tcPr>
          <w:p w14:paraId="5F5EE26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具有压力管道元件制造许可证。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具有一个制造300T/h以上超高压同等业绩。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vMerge w:val="continue"/>
            <w:tcBorders>
              <w:tl2br w:val="nil"/>
              <w:tr2bl w:val="nil"/>
            </w:tcBorders>
            <w:noWrap w:val="0"/>
            <w:vAlign w:val="center"/>
          </w:tcPr>
          <w:p w14:paraId="59417C58">
            <w:pPr>
              <w:jc w:val="left"/>
              <w:rPr>
                <w:rFonts w:hint="eastAsia" w:ascii="宋体" w:hAnsi="宋体" w:eastAsia="宋体" w:cs="宋体"/>
                <w:color w:val="000000"/>
                <w:sz w:val="18"/>
                <w:szCs w:val="18"/>
                <w:highlight w:val="none"/>
                <w:vertAlign w:val="baseline"/>
                <w:lang w:val="en-US"/>
              </w:rPr>
            </w:pPr>
          </w:p>
        </w:tc>
      </w:tr>
      <w:tr w14:paraId="3A815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2CE0374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包25</w:t>
            </w:r>
          </w:p>
        </w:tc>
        <w:tc>
          <w:tcPr>
            <w:tcW w:w="1011" w:type="dxa"/>
            <w:tcBorders>
              <w:tl2br w:val="nil"/>
              <w:tr2bl w:val="nil"/>
            </w:tcBorders>
            <w:noWrap w:val="0"/>
            <w:vAlign w:val="center"/>
          </w:tcPr>
          <w:p w14:paraId="00F8C5E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疏水阀</w:t>
            </w:r>
          </w:p>
        </w:tc>
        <w:tc>
          <w:tcPr>
            <w:tcW w:w="2039" w:type="dxa"/>
            <w:tcBorders>
              <w:tl2br w:val="nil"/>
              <w:tr2bl w:val="nil"/>
            </w:tcBorders>
            <w:noWrap w:val="0"/>
            <w:vAlign w:val="center"/>
          </w:tcPr>
          <w:p w14:paraId="081A0DE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疏水阀</w:t>
            </w:r>
          </w:p>
        </w:tc>
        <w:tc>
          <w:tcPr>
            <w:tcW w:w="4590" w:type="dxa"/>
            <w:tcBorders>
              <w:tl2br w:val="nil"/>
              <w:tr2bl w:val="nil"/>
            </w:tcBorders>
            <w:noWrap w:val="0"/>
            <w:vAlign w:val="center"/>
          </w:tcPr>
          <w:p w14:paraId="79DD4BD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具有一套煤化工或石油化工行业疏水阀供货业绩。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6AF2103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1、设备上使用机械式杠杆浮球疏水阀，管道上使用双金属式疏水阀；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2、所有疏水阀带过滤和止回功能</w:t>
            </w:r>
          </w:p>
        </w:tc>
      </w:tr>
      <w:tr w14:paraId="7257C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1F96B66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包26</w:t>
            </w:r>
          </w:p>
        </w:tc>
        <w:tc>
          <w:tcPr>
            <w:tcW w:w="1011" w:type="dxa"/>
            <w:tcBorders>
              <w:tl2br w:val="nil"/>
              <w:tr2bl w:val="nil"/>
            </w:tcBorders>
            <w:noWrap w:val="0"/>
            <w:vAlign w:val="center"/>
          </w:tcPr>
          <w:p w14:paraId="5D65CD6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高压阀（压力等级6.4MPA及以上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闸、截、止、球、蝶）</w:t>
            </w:r>
          </w:p>
        </w:tc>
        <w:tc>
          <w:tcPr>
            <w:tcW w:w="2039" w:type="dxa"/>
            <w:tcBorders>
              <w:tl2br w:val="nil"/>
              <w:tr2bl w:val="nil"/>
            </w:tcBorders>
            <w:noWrap w:val="0"/>
            <w:vAlign w:val="center"/>
          </w:tcPr>
          <w:p w14:paraId="1E4FC39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高压阀（压力等级6.4MPA及以上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闸、截、止、球、蝶）</w:t>
            </w:r>
          </w:p>
        </w:tc>
        <w:tc>
          <w:tcPr>
            <w:tcW w:w="4590" w:type="dxa"/>
            <w:tcBorders>
              <w:tl2br w:val="nil"/>
              <w:tr2bl w:val="nil"/>
            </w:tcBorders>
            <w:noWrap w:val="0"/>
            <w:vAlign w:val="center"/>
          </w:tcPr>
          <w:p w14:paraId="04499D9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具有特种设备生产许可证（TS证书）和型式试验证书。</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具有一套煤化工或石油化工行业高压阀（压力等级6.4MPA及以上闸、截、止、球、蝶）供货业绩。</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5950" w:type="dxa"/>
            <w:tcBorders>
              <w:tl2br w:val="nil"/>
              <w:tr2bl w:val="nil"/>
            </w:tcBorders>
            <w:noWrap w:val="0"/>
            <w:vAlign w:val="center"/>
          </w:tcPr>
          <w:p w14:paraId="6962E25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1.阀门逸散性试验：试验温度为室温条件,温度为5℃~40℃。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试验压力为0.6MPa或由制造厂和买方协商确定。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阀体泄漏测量程序如下: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a)使试验阀门处于半开位置,用氦气吹扫置换阀门体腔内的空气,然后加压到5.3规定的试验压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力,并保持压力;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b按GB/T40079-2021中附录B“吸枪法”测量阀体密封处泄漏;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泄漏测量值的接受值应不超过50PPMV。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试验合格后,阀门的铭牌上或其他合适位置可标志上表示该阀门逸散性试验合格的标志“FE”。</w:t>
            </w:r>
          </w:p>
        </w:tc>
      </w:tr>
      <w:tr w14:paraId="0855D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815CD5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包27</w:t>
            </w:r>
          </w:p>
        </w:tc>
        <w:tc>
          <w:tcPr>
            <w:tcW w:w="1011" w:type="dxa"/>
            <w:tcBorders>
              <w:tl2br w:val="nil"/>
              <w:tr2bl w:val="nil"/>
            </w:tcBorders>
            <w:noWrap w:val="0"/>
            <w:vAlign w:val="center"/>
          </w:tcPr>
          <w:p w14:paraId="20DA0E6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中低压阀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（闸、截、止、球、蝶）(制盐装置）</w:t>
            </w:r>
          </w:p>
        </w:tc>
        <w:tc>
          <w:tcPr>
            <w:tcW w:w="2039" w:type="dxa"/>
            <w:tcBorders>
              <w:tl2br w:val="nil"/>
              <w:tr2bl w:val="nil"/>
            </w:tcBorders>
            <w:noWrap w:val="0"/>
            <w:vAlign w:val="center"/>
          </w:tcPr>
          <w:p w14:paraId="78ADDCE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中低压阀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（闸、截、止、球、蝶）(制盐装置）</w:t>
            </w:r>
          </w:p>
        </w:tc>
        <w:tc>
          <w:tcPr>
            <w:tcW w:w="4590" w:type="dxa"/>
            <w:tcBorders>
              <w:tl2br w:val="nil"/>
              <w:tr2bl w:val="nil"/>
            </w:tcBorders>
            <w:noWrap w:val="0"/>
            <w:vAlign w:val="center"/>
          </w:tcPr>
          <w:p w14:paraId="2BE4C64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具有特种设备生产许可证（TS证书）和型式试验证书。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具有一套中海油或者盐化工行业该设备供货业绩，同时还具有一套煤化工行业该设备供货业绩。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制造商的投标和代理商的投标（如允许代理商投标的，一个制造商的设备，仅能委托一个代理商参加投标）。 </w:t>
            </w:r>
          </w:p>
        </w:tc>
        <w:tc>
          <w:tcPr>
            <w:tcW w:w="5950" w:type="dxa"/>
            <w:vMerge w:val="restart"/>
            <w:tcBorders>
              <w:tl2br w:val="nil"/>
              <w:tr2bl w:val="nil"/>
            </w:tcBorders>
            <w:noWrap w:val="0"/>
            <w:vAlign w:val="center"/>
          </w:tcPr>
          <w:p w14:paraId="77DDB79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1.阀门逸散性试验：试验温度为室温条件,温度为5℃~40℃。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试验压力为0.6MPa或由制造厂和买方协商确定。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阀体泄漏测量程序如下: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a)使试验阀门处于半开位置,用氦气吹扫置换阀门体腔内的空气,然后加压到5.3规定的试验压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力,并保持压力;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b按GB/T40079-2021中附录B“吸枪法”测量阀体密封处泄漏;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泄漏测量值的接受值应不超过50PPMV。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试验合格后,阀门的铭牌上或其他合适位置可标志上表示该阀门逸散性试验合格的标志“FE”。</w:t>
            </w:r>
          </w:p>
        </w:tc>
      </w:tr>
      <w:tr w14:paraId="15923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C76044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包28</w:t>
            </w:r>
          </w:p>
        </w:tc>
        <w:tc>
          <w:tcPr>
            <w:tcW w:w="1011" w:type="dxa"/>
            <w:tcBorders>
              <w:tl2br w:val="nil"/>
              <w:tr2bl w:val="nil"/>
            </w:tcBorders>
            <w:noWrap w:val="0"/>
            <w:vAlign w:val="center"/>
          </w:tcPr>
          <w:p w14:paraId="5405A86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中低压阀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（闸、截、止、球、蝶）（联碱、合成、公用工程等装置）</w:t>
            </w:r>
          </w:p>
        </w:tc>
        <w:tc>
          <w:tcPr>
            <w:tcW w:w="2039" w:type="dxa"/>
            <w:tcBorders>
              <w:tl2br w:val="nil"/>
              <w:tr2bl w:val="nil"/>
            </w:tcBorders>
            <w:noWrap w:val="0"/>
            <w:vAlign w:val="center"/>
          </w:tcPr>
          <w:p w14:paraId="20F0882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中低压阀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（闸、截、止、球、蝶）（联碱、合成、公用工程等装置）</w:t>
            </w:r>
          </w:p>
        </w:tc>
        <w:tc>
          <w:tcPr>
            <w:tcW w:w="4590" w:type="dxa"/>
            <w:tcBorders>
              <w:tl2br w:val="nil"/>
              <w:tr2bl w:val="nil"/>
            </w:tcBorders>
            <w:noWrap w:val="0"/>
            <w:vAlign w:val="center"/>
          </w:tcPr>
          <w:p w14:paraId="46994A5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t>1.有效期内覆盖招标物资的特种设备生产许可证（TS证书）和型式试验证书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至少具有一套石油化工行业该设备供货业绩，同时具有一套煤化工行业该设备供货业绩。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vMerge w:val="continue"/>
            <w:tcBorders>
              <w:tl2br w:val="nil"/>
              <w:tr2bl w:val="nil"/>
            </w:tcBorders>
            <w:noWrap w:val="0"/>
            <w:vAlign w:val="center"/>
          </w:tcPr>
          <w:p w14:paraId="78C8F782">
            <w:pPr>
              <w:rPr>
                <w:rFonts w:hint="eastAsia" w:ascii="宋体" w:hAnsi="宋体" w:eastAsia="宋体" w:cs="宋体"/>
                <w:color w:val="000000"/>
                <w:sz w:val="18"/>
                <w:szCs w:val="18"/>
                <w:highlight w:val="none"/>
                <w:vertAlign w:val="baseline"/>
                <w:lang w:val="en-US"/>
              </w:rPr>
            </w:pPr>
          </w:p>
        </w:tc>
      </w:tr>
      <w:tr w14:paraId="1A24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C99D85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包29</w:t>
            </w:r>
          </w:p>
        </w:tc>
        <w:tc>
          <w:tcPr>
            <w:tcW w:w="1011" w:type="dxa"/>
            <w:tcBorders>
              <w:tl2br w:val="nil"/>
              <w:tr2bl w:val="nil"/>
            </w:tcBorders>
            <w:noWrap w:val="0"/>
            <w:vAlign w:val="center"/>
          </w:tcPr>
          <w:p w14:paraId="3062DF0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水系统用蝶阀</w:t>
            </w:r>
          </w:p>
        </w:tc>
        <w:tc>
          <w:tcPr>
            <w:tcW w:w="2039" w:type="dxa"/>
            <w:tcBorders>
              <w:tl2br w:val="nil"/>
              <w:tr2bl w:val="nil"/>
            </w:tcBorders>
            <w:noWrap w:val="0"/>
            <w:vAlign w:val="center"/>
          </w:tcPr>
          <w:p w14:paraId="47B0D00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水系统用蝶阀</w:t>
            </w:r>
          </w:p>
        </w:tc>
        <w:tc>
          <w:tcPr>
            <w:tcW w:w="4590" w:type="dxa"/>
            <w:tcBorders>
              <w:tl2br w:val="nil"/>
              <w:tr2bl w:val="nil"/>
            </w:tcBorders>
            <w:noWrap w:val="0"/>
            <w:vAlign w:val="center"/>
          </w:tcPr>
          <w:p w14:paraId="5687333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具有特种设备生产许可证（TS证书）和型式试验证书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具有一套煤化工行业水系统用蝶阀供货业绩。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7812A1D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1.蝶阀的设计和制造标准要符合GB/T 12238-2008《通用阀门 法兰和对夹连接蝶阀》等相关标准。</w:t>
            </w:r>
          </w:p>
        </w:tc>
      </w:tr>
      <w:tr w14:paraId="4C237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80E6AA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包30</w:t>
            </w:r>
          </w:p>
        </w:tc>
        <w:tc>
          <w:tcPr>
            <w:tcW w:w="1011" w:type="dxa"/>
            <w:tcBorders>
              <w:tl2br w:val="nil"/>
              <w:tr2bl w:val="nil"/>
            </w:tcBorders>
            <w:noWrap w:val="0"/>
            <w:vAlign w:val="center"/>
          </w:tcPr>
          <w:p w14:paraId="67BFDDE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蒸汽安全阀1</w:t>
            </w:r>
          </w:p>
        </w:tc>
        <w:tc>
          <w:tcPr>
            <w:tcW w:w="2039" w:type="dxa"/>
            <w:tcBorders>
              <w:tl2br w:val="nil"/>
              <w:tr2bl w:val="nil"/>
            </w:tcBorders>
            <w:noWrap w:val="0"/>
            <w:vAlign w:val="center"/>
          </w:tcPr>
          <w:p w14:paraId="5F923D5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蒸汽安全阀（压力等级6.4MPA及以上）</w:t>
            </w:r>
          </w:p>
        </w:tc>
        <w:tc>
          <w:tcPr>
            <w:tcW w:w="4590" w:type="dxa"/>
            <w:tcBorders>
              <w:tl2br w:val="nil"/>
              <w:tr2bl w:val="nil"/>
            </w:tcBorders>
            <w:noWrap w:val="0"/>
            <w:vAlign w:val="center"/>
          </w:tcPr>
          <w:p w14:paraId="70AC915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具有一套煤化工或石油化工行业蒸汽安全阀（压力等级6.4MPA及以上）供货业绩。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vMerge w:val="restart"/>
            <w:tcBorders>
              <w:tl2br w:val="nil"/>
              <w:tr2bl w:val="nil"/>
            </w:tcBorders>
            <w:noWrap w:val="0"/>
            <w:vAlign w:val="center"/>
          </w:tcPr>
          <w:p w14:paraId="20EBA64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1.制造商应配备金属材料理化试验、机械性能力学试验、超声波测厚、无损探伤、光谱分析、金属热处理、安全阀全性能测试中心、弹簧拉压试验等专用设备。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2.进口工艺安全阀，供货时需提供原产地证明。</w:t>
            </w:r>
          </w:p>
        </w:tc>
      </w:tr>
      <w:tr w14:paraId="2DBB1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C44E15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包31</w:t>
            </w:r>
          </w:p>
        </w:tc>
        <w:tc>
          <w:tcPr>
            <w:tcW w:w="1011" w:type="dxa"/>
            <w:tcBorders>
              <w:tl2br w:val="nil"/>
              <w:tr2bl w:val="nil"/>
            </w:tcBorders>
            <w:noWrap w:val="0"/>
            <w:vAlign w:val="center"/>
          </w:tcPr>
          <w:p w14:paraId="0086881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蒸汽安全阀2</w:t>
            </w:r>
          </w:p>
        </w:tc>
        <w:tc>
          <w:tcPr>
            <w:tcW w:w="2039" w:type="dxa"/>
            <w:tcBorders>
              <w:tl2br w:val="nil"/>
              <w:tr2bl w:val="nil"/>
            </w:tcBorders>
            <w:noWrap w:val="0"/>
            <w:vAlign w:val="center"/>
          </w:tcPr>
          <w:p w14:paraId="6E4FBA7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蒸汽安全阀（中低压）</w:t>
            </w:r>
          </w:p>
        </w:tc>
        <w:tc>
          <w:tcPr>
            <w:tcW w:w="4590" w:type="dxa"/>
            <w:tcBorders>
              <w:tl2br w:val="nil"/>
              <w:tr2bl w:val="nil"/>
            </w:tcBorders>
            <w:noWrap w:val="0"/>
            <w:vAlign w:val="center"/>
          </w:tcPr>
          <w:p w14:paraId="4CE09FE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具有特种设备生产许可证（TS证书）和型式试验证书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具有一套煤化工或石油化工行业蒸汽安全阀（中低压）供货业绩。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vMerge w:val="continue"/>
            <w:tcBorders>
              <w:tl2br w:val="nil"/>
              <w:tr2bl w:val="nil"/>
            </w:tcBorders>
            <w:noWrap w:val="0"/>
            <w:vAlign w:val="center"/>
          </w:tcPr>
          <w:p w14:paraId="4AD431D6">
            <w:pPr>
              <w:jc w:val="left"/>
              <w:rPr>
                <w:rFonts w:hint="eastAsia" w:ascii="宋体" w:hAnsi="宋体" w:eastAsia="宋体" w:cs="宋体"/>
                <w:color w:val="000000"/>
                <w:sz w:val="18"/>
                <w:szCs w:val="18"/>
                <w:highlight w:val="none"/>
                <w:vertAlign w:val="baseline"/>
                <w:lang w:val="en-US"/>
              </w:rPr>
            </w:pPr>
          </w:p>
        </w:tc>
      </w:tr>
      <w:tr w14:paraId="0A332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B67E29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包32</w:t>
            </w:r>
          </w:p>
        </w:tc>
        <w:tc>
          <w:tcPr>
            <w:tcW w:w="1011" w:type="dxa"/>
            <w:tcBorders>
              <w:tl2br w:val="nil"/>
              <w:tr2bl w:val="nil"/>
            </w:tcBorders>
            <w:noWrap w:val="0"/>
            <w:vAlign w:val="center"/>
          </w:tcPr>
          <w:p w14:paraId="53A2333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工艺安全阀1</w:t>
            </w:r>
          </w:p>
        </w:tc>
        <w:tc>
          <w:tcPr>
            <w:tcW w:w="2039" w:type="dxa"/>
            <w:tcBorders>
              <w:tl2br w:val="nil"/>
              <w:tr2bl w:val="nil"/>
            </w:tcBorders>
            <w:noWrap w:val="0"/>
            <w:vAlign w:val="center"/>
          </w:tcPr>
          <w:p w14:paraId="4B8ABC7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工艺安全阀（压力等级6.4MPA及以上）</w:t>
            </w:r>
          </w:p>
        </w:tc>
        <w:tc>
          <w:tcPr>
            <w:tcW w:w="4590" w:type="dxa"/>
            <w:tcBorders>
              <w:tl2br w:val="nil"/>
              <w:tr2bl w:val="nil"/>
            </w:tcBorders>
            <w:noWrap w:val="0"/>
            <w:vAlign w:val="center"/>
          </w:tcPr>
          <w:p w14:paraId="3776701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具有一套煤化工或石油化工行业工艺安全阀（压力等级6.4MPA及以上）供货业绩。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vMerge w:val="restart"/>
            <w:tcBorders>
              <w:tl2br w:val="nil"/>
              <w:tr2bl w:val="nil"/>
            </w:tcBorders>
            <w:noWrap w:val="0"/>
            <w:vAlign w:val="center"/>
          </w:tcPr>
          <w:p w14:paraId="31C7180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1.制造商应配备金属材料理化试验、机械性能力学试验、超声波测厚、无损探伤、光谱分析、金属热处理、安全阀全性能测试中心、弹簧拉压试验等专用设备。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2.进口工艺安全阀，供货时需提供原产地证明。</w:t>
            </w:r>
          </w:p>
        </w:tc>
      </w:tr>
      <w:tr w14:paraId="07089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6097CEB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包33</w:t>
            </w:r>
          </w:p>
        </w:tc>
        <w:tc>
          <w:tcPr>
            <w:tcW w:w="1011" w:type="dxa"/>
            <w:tcBorders>
              <w:tl2br w:val="nil"/>
              <w:tr2bl w:val="nil"/>
            </w:tcBorders>
            <w:noWrap w:val="0"/>
            <w:vAlign w:val="center"/>
          </w:tcPr>
          <w:p w14:paraId="4CE3F7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工艺安全阀2</w:t>
            </w:r>
          </w:p>
        </w:tc>
        <w:tc>
          <w:tcPr>
            <w:tcW w:w="2039" w:type="dxa"/>
            <w:tcBorders>
              <w:tl2br w:val="nil"/>
              <w:tr2bl w:val="nil"/>
            </w:tcBorders>
            <w:noWrap w:val="0"/>
            <w:vAlign w:val="center"/>
          </w:tcPr>
          <w:p w14:paraId="3DCC517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工艺安全阀（中低压）</w:t>
            </w:r>
          </w:p>
        </w:tc>
        <w:tc>
          <w:tcPr>
            <w:tcW w:w="4590" w:type="dxa"/>
            <w:tcBorders>
              <w:tl2br w:val="nil"/>
              <w:tr2bl w:val="nil"/>
            </w:tcBorders>
            <w:noWrap w:val="0"/>
            <w:vAlign w:val="center"/>
          </w:tcPr>
          <w:p w14:paraId="3859605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具有特种设备生产许可证（TS证书）和型式试验证书。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具有一套煤化工或石油化工行业工艺安全阀（中低压）供货业绩。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vMerge w:val="continue"/>
            <w:tcBorders>
              <w:tl2br w:val="nil"/>
              <w:tr2bl w:val="nil"/>
            </w:tcBorders>
            <w:noWrap w:val="0"/>
            <w:vAlign w:val="center"/>
          </w:tcPr>
          <w:p w14:paraId="3E3BC646">
            <w:pPr>
              <w:jc w:val="left"/>
              <w:rPr>
                <w:rFonts w:hint="eastAsia" w:ascii="宋体" w:hAnsi="宋体" w:eastAsia="宋体" w:cs="宋体"/>
                <w:color w:val="000000"/>
                <w:sz w:val="18"/>
                <w:szCs w:val="18"/>
                <w:highlight w:val="none"/>
                <w:vertAlign w:val="baseline"/>
                <w:lang w:val="en-US"/>
              </w:rPr>
            </w:pPr>
          </w:p>
        </w:tc>
      </w:tr>
      <w:tr w14:paraId="101A4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69C673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包34</w:t>
            </w:r>
          </w:p>
        </w:tc>
        <w:tc>
          <w:tcPr>
            <w:tcW w:w="1011" w:type="dxa"/>
            <w:tcBorders>
              <w:tl2br w:val="nil"/>
              <w:tr2bl w:val="nil"/>
            </w:tcBorders>
            <w:noWrap w:val="0"/>
            <w:vAlign w:val="center"/>
          </w:tcPr>
          <w:p w14:paraId="6A3CEF5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板式换热器</w:t>
            </w:r>
          </w:p>
        </w:tc>
        <w:tc>
          <w:tcPr>
            <w:tcW w:w="2039" w:type="dxa"/>
            <w:tcBorders>
              <w:tl2br w:val="nil"/>
              <w:tr2bl w:val="nil"/>
            </w:tcBorders>
            <w:noWrap w:val="0"/>
            <w:vAlign w:val="center"/>
          </w:tcPr>
          <w:p w14:paraId="78AA773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板式换热器</w:t>
            </w:r>
          </w:p>
        </w:tc>
        <w:tc>
          <w:tcPr>
            <w:tcW w:w="4590" w:type="dxa"/>
            <w:tcBorders>
              <w:tl2br w:val="nil"/>
              <w:tr2bl w:val="nil"/>
            </w:tcBorders>
            <w:noWrap w:val="0"/>
            <w:vAlign w:val="center"/>
          </w:tcPr>
          <w:p w14:paraId="2B31851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A6级板式换热器证书。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具有一套煤化工或石油化工行业板式换热器供货业绩。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4AF8C33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1、须符合国标的有关要求，须由原厂装配及制造；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2、整个热交换器包括一个由低碳钢制成的框 架，经由机械加工压铸成人字波纹形(HERRING BONE)的不锈钢（材质要求为不锈钢 316以上）传热板片，承托换热片的上下导杆、固定压紧板和活动压紧板组成。板片与板片之边缘和通道周围均用橡胶垫片作密封，密封垫圈选择要求为 EPDM 材质，热交换器的各部件必须不含石棉物质，支撑换热器换热板片的上下导杆须由碳钢制造。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3、热交换器的设计须能保证碳钢框架的任何部份，不能接触流经热交器的加热或冷却介质。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4、热交换器的换热功能须按照所提供的设备技术参数要求选定，并预留至少 10% 以上的富裕量，以补偿因污垢热阻等而引起的换热损失。换热器需预留足够的扩容 空间以供日后可增添相等于原换热功能 20% 以上的换热板片。换热板片使用寿命不少于五年。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5、热交换器应选择逆流式，同一种介质同一侧接管。不接受交叉换热形式或垫片 胶贴方式。</w:t>
            </w:r>
          </w:p>
        </w:tc>
      </w:tr>
      <w:tr w14:paraId="6645B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5728DB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包35</w:t>
            </w:r>
          </w:p>
        </w:tc>
        <w:tc>
          <w:tcPr>
            <w:tcW w:w="1011" w:type="dxa"/>
            <w:tcBorders>
              <w:tl2br w:val="nil"/>
              <w:tr2bl w:val="nil"/>
            </w:tcBorders>
            <w:noWrap w:val="0"/>
            <w:vAlign w:val="center"/>
          </w:tcPr>
          <w:p w14:paraId="355F3BE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专用工具</w:t>
            </w:r>
          </w:p>
        </w:tc>
        <w:tc>
          <w:tcPr>
            <w:tcW w:w="2039" w:type="dxa"/>
            <w:tcBorders>
              <w:tl2br w:val="nil"/>
              <w:tr2bl w:val="nil"/>
            </w:tcBorders>
            <w:noWrap w:val="0"/>
            <w:vAlign w:val="center"/>
          </w:tcPr>
          <w:p w14:paraId="1B31517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专用工具</w:t>
            </w:r>
          </w:p>
        </w:tc>
        <w:tc>
          <w:tcPr>
            <w:tcW w:w="4590" w:type="dxa"/>
            <w:tcBorders>
              <w:tl2br w:val="nil"/>
              <w:tr2bl w:val="nil"/>
            </w:tcBorders>
            <w:noWrap w:val="0"/>
            <w:vAlign w:val="center"/>
          </w:tcPr>
          <w:p w14:paraId="229BB2D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具有一套煤化工或石油化工行业专用工具供货业绩。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7703981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一、液压扳手、液压拉伸器、液压工具原装进口，供货时需提供原产地证明、防爆证明材料、泵站流量测试文件；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二、其余工具国产。</w:t>
            </w:r>
          </w:p>
        </w:tc>
      </w:tr>
      <w:tr w14:paraId="165EE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D0750C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包36</w:t>
            </w:r>
          </w:p>
        </w:tc>
        <w:tc>
          <w:tcPr>
            <w:tcW w:w="1011" w:type="dxa"/>
            <w:tcBorders>
              <w:tl2br w:val="nil"/>
              <w:tr2bl w:val="nil"/>
            </w:tcBorders>
            <w:noWrap w:val="0"/>
            <w:vAlign w:val="center"/>
          </w:tcPr>
          <w:p w14:paraId="24F30AF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消音器</w:t>
            </w:r>
          </w:p>
        </w:tc>
        <w:tc>
          <w:tcPr>
            <w:tcW w:w="2039" w:type="dxa"/>
            <w:tcBorders>
              <w:tl2br w:val="nil"/>
              <w:tr2bl w:val="nil"/>
            </w:tcBorders>
            <w:noWrap w:val="0"/>
            <w:vAlign w:val="center"/>
          </w:tcPr>
          <w:p w14:paraId="0F00328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消音器</w:t>
            </w:r>
          </w:p>
        </w:tc>
        <w:tc>
          <w:tcPr>
            <w:tcW w:w="4590" w:type="dxa"/>
            <w:tcBorders>
              <w:tl2br w:val="nil"/>
              <w:tr2bl w:val="nil"/>
            </w:tcBorders>
            <w:noWrap w:val="0"/>
            <w:vAlign w:val="center"/>
          </w:tcPr>
          <w:p w14:paraId="6747509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具有一套煤化工或石油化工行业消音器供货业绩。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6FFE6B5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1.供货时提供型式检验证明，产品检验项目包含：外观、尺寸偏差、A计权插入损失、全压损失系数、单位面积气流噪声A计权声功率级、单位面积漏风量、耐高温性能。</w:t>
            </w:r>
          </w:p>
        </w:tc>
      </w:tr>
      <w:tr w14:paraId="74611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58A30B3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包37</w:t>
            </w:r>
          </w:p>
        </w:tc>
        <w:tc>
          <w:tcPr>
            <w:tcW w:w="1011" w:type="dxa"/>
            <w:tcBorders>
              <w:tl2br w:val="nil"/>
              <w:tr2bl w:val="nil"/>
            </w:tcBorders>
            <w:noWrap w:val="0"/>
            <w:vAlign w:val="center"/>
          </w:tcPr>
          <w:p w14:paraId="2CCD5D8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行车起吊设施</w:t>
            </w:r>
          </w:p>
        </w:tc>
        <w:tc>
          <w:tcPr>
            <w:tcW w:w="2039" w:type="dxa"/>
            <w:tcBorders>
              <w:tl2br w:val="nil"/>
              <w:tr2bl w:val="nil"/>
            </w:tcBorders>
            <w:noWrap w:val="0"/>
            <w:vAlign w:val="center"/>
          </w:tcPr>
          <w:p w14:paraId="6E8F7E0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行车起吊设施</w:t>
            </w:r>
          </w:p>
        </w:tc>
        <w:tc>
          <w:tcPr>
            <w:tcW w:w="4590" w:type="dxa"/>
            <w:tcBorders>
              <w:tl2br w:val="nil"/>
              <w:tr2bl w:val="nil"/>
            </w:tcBorders>
            <w:noWrap w:val="0"/>
            <w:vAlign w:val="center"/>
          </w:tcPr>
          <w:p w14:paraId="19D8943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具有特种设备安全生产许可证：起重机械制造（含安装、修理、改造）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具有一套煤化工或石油化工行业行车起吊设施供货业绩。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30C9949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1.通用桥式起重机应符合GB/T 14405-2011规定。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2.起重机的最大结构尺寸应符合GB 中的规定的限界尺寸要求。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3.起重机的设计、制造应符合GB3811和GB/T 14405-93的有关规定。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4.起重机的整机试验：目测试验、空载试验、静载试验、额定载荷试验和动载试验要符合GB/T 14405-2011规定。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5.起重机应进行出厂试验，符合GB/T 14405-2011型式检测条件的应进行型式检测。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6.各式起重机要符合上述等相关规定。</w:t>
            </w:r>
          </w:p>
        </w:tc>
      </w:tr>
      <w:tr w14:paraId="57885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5A64CD2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包38</w:t>
            </w:r>
          </w:p>
        </w:tc>
        <w:tc>
          <w:tcPr>
            <w:tcW w:w="1011" w:type="dxa"/>
            <w:tcBorders>
              <w:tl2br w:val="nil"/>
              <w:tr2bl w:val="nil"/>
            </w:tcBorders>
            <w:noWrap w:val="0"/>
            <w:vAlign w:val="center"/>
          </w:tcPr>
          <w:p w14:paraId="5C0439B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皮带输送机（含皮带）</w:t>
            </w:r>
          </w:p>
        </w:tc>
        <w:tc>
          <w:tcPr>
            <w:tcW w:w="2039" w:type="dxa"/>
            <w:tcBorders>
              <w:tl2br w:val="nil"/>
              <w:tr2bl w:val="nil"/>
            </w:tcBorders>
            <w:noWrap w:val="0"/>
            <w:vAlign w:val="center"/>
          </w:tcPr>
          <w:p w14:paraId="780DCBD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皮带输送机（含皮带）</w:t>
            </w:r>
          </w:p>
        </w:tc>
        <w:tc>
          <w:tcPr>
            <w:tcW w:w="4590" w:type="dxa"/>
            <w:tcBorders>
              <w:tl2br w:val="nil"/>
              <w:tr2bl w:val="nil"/>
            </w:tcBorders>
            <w:noWrap w:val="0"/>
            <w:vAlign w:val="center"/>
          </w:tcPr>
          <w:p w14:paraId="4E9BB04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具有一套煤化工或石油化工行业皮带输送机（含皮带）供货业绩。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7E70141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1、需配备纠偏和自动清扫装置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2、清扫器、缓冲床品牌：厦门坤普、珀挺机械、蒂普拓普3、纠偏装置品牌：徐州中矿智衡；马丁；厦门所德；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4、皮带机减速器：SEW、弗兰德、诺德；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5、皮带机高速轴端采用全密闭筒式同步全永磁耦合器，不丢转、不发热、不露磁、不接受盘式涡流半磁联轴器。                                                                                                                6、皮带永久及弹性伸长率不大于0.2%，其技术条件必须符合MT668标准要求。7、皮带：浙江双箭、山东威普斯、三维控股品牌或者高于上述品牌。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8.以上所列表示为同档次或高于所列品牌技术标准的品牌执行，不具有指定或唯一的意思表示。</w:t>
            </w:r>
          </w:p>
        </w:tc>
      </w:tr>
      <w:tr w14:paraId="11074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E2E353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包39</w:t>
            </w:r>
          </w:p>
        </w:tc>
        <w:tc>
          <w:tcPr>
            <w:tcW w:w="1011" w:type="dxa"/>
            <w:tcBorders>
              <w:tl2br w:val="nil"/>
              <w:tr2bl w:val="nil"/>
            </w:tcBorders>
            <w:noWrap w:val="0"/>
            <w:vAlign w:val="center"/>
          </w:tcPr>
          <w:p w14:paraId="0008634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通用除铁器</w:t>
            </w:r>
          </w:p>
        </w:tc>
        <w:tc>
          <w:tcPr>
            <w:tcW w:w="2039" w:type="dxa"/>
            <w:tcBorders>
              <w:tl2br w:val="nil"/>
              <w:tr2bl w:val="nil"/>
            </w:tcBorders>
            <w:noWrap w:val="0"/>
            <w:vAlign w:val="center"/>
          </w:tcPr>
          <w:p w14:paraId="6A48F4D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通用除铁器</w:t>
            </w:r>
          </w:p>
        </w:tc>
        <w:tc>
          <w:tcPr>
            <w:tcW w:w="4590" w:type="dxa"/>
            <w:tcBorders>
              <w:tl2br w:val="nil"/>
              <w:tr2bl w:val="nil"/>
            </w:tcBorders>
            <w:noWrap w:val="0"/>
            <w:vAlign w:val="center"/>
          </w:tcPr>
          <w:p w14:paraId="6206743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具有一套煤化工或石油化工行业通用除铁器供货业绩。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49C1DAA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1.具备能检测交流/直流磁场、静电场以及瞬态电磁场、温度场分析和参数化分析的能力。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2.具备检测产品的相位线、B和H分布图、能量、密度、温度分布图等。</w:t>
            </w:r>
          </w:p>
        </w:tc>
      </w:tr>
      <w:tr w14:paraId="05404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6F0152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包40</w:t>
            </w:r>
          </w:p>
        </w:tc>
        <w:tc>
          <w:tcPr>
            <w:tcW w:w="1011" w:type="dxa"/>
            <w:tcBorders>
              <w:tl2br w:val="nil"/>
              <w:tr2bl w:val="nil"/>
            </w:tcBorders>
            <w:noWrap w:val="0"/>
            <w:vAlign w:val="center"/>
          </w:tcPr>
          <w:p w14:paraId="337FB2B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防爆电梯</w:t>
            </w:r>
          </w:p>
        </w:tc>
        <w:tc>
          <w:tcPr>
            <w:tcW w:w="2039" w:type="dxa"/>
            <w:tcBorders>
              <w:tl2br w:val="nil"/>
              <w:tr2bl w:val="nil"/>
            </w:tcBorders>
            <w:noWrap w:val="0"/>
            <w:vAlign w:val="center"/>
          </w:tcPr>
          <w:p w14:paraId="1DE2ECA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防爆电梯</w:t>
            </w:r>
          </w:p>
        </w:tc>
        <w:tc>
          <w:tcPr>
            <w:tcW w:w="4590" w:type="dxa"/>
            <w:tcBorders>
              <w:tl2br w:val="nil"/>
              <w:tr2bl w:val="nil"/>
            </w:tcBorders>
            <w:noWrap w:val="0"/>
            <w:vAlign w:val="center"/>
          </w:tcPr>
          <w:p w14:paraId="23732AA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具有电梯制造（含电梯、安装、修理、改造）的特种设备生产许可证。且子项目包含曳引式防爆电梯等级。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具有一套煤化工或石油化工行业防爆电梯供货业绩。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068624B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1.电梯厅门需耐火不小于1小时，并符合国家《电梯层门耐火试验、隔热性和热通量测定法》规定的完成性和隔热性要求。</w:t>
            </w:r>
          </w:p>
        </w:tc>
      </w:tr>
      <w:tr w14:paraId="755FF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78A56D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包41</w:t>
            </w:r>
          </w:p>
        </w:tc>
        <w:tc>
          <w:tcPr>
            <w:tcW w:w="1011" w:type="dxa"/>
            <w:tcBorders>
              <w:tl2br w:val="nil"/>
              <w:tr2bl w:val="nil"/>
            </w:tcBorders>
            <w:noWrap w:val="0"/>
            <w:vAlign w:val="center"/>
          </w:tcPr>
          <w:p w14:paraId="6DECED6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中央空调</w:t>
            </w:r>
          </w:p>
        </w:tc>
        <w:tc>
          <w:tcPr>
            <w:tcW w:w="2039" w:type="dxa"/>
            <w:tcBorders>
              <w:tl2br w:val="nil"/>
              <w:tr2bl w:val="nil"/>
            </w:tcBorders>
            <w:noWrap w:val="0"/>
            <w:vAlign w:val="center"/>
          </w:tcPr>
          <w:p w14:paraId="589C8F4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中央空调</w:t>
            </w:r>
          </w:p>
        </w:tc>
        <w:tc>
          <w:tcPr>
            <w:tcW w:w="4590" w:type="dxa"/>
            <w:tcBorders>
              <w:tl2br w:val="nil"/>
              <w:tr2bl w:val="nil"/>
            </w:tcBorders>
            <w:noWrap w:val="0"/>
            <w:vAlign w:val="center"/>
          </w:tcPr>
          <w:p w14:paraId="399F5A8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具有一套煤化工或石油化工行业中央空调供货业绩。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42F7D80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1、风冷热泵单元式空调机组基础要求：压缩机类型必须采用全直流变频涡旋式压缩机，调节范围10%-100%；                                                                                            2、机房精密空调基础要求：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（1）机房精密空调应具有高效节能性，压缩机采用涡旋压缩技术，空调机组应具有断电重启功能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（2）换热器应选用高效大面积V型蒸发器，提高换热面积，保障换热效率；具备精确除湿功能，减少空气过冷及热补偿需求，降低机房空调除湿过程的耗电量；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（3）采用电子膨胀阀控制，无极调节开度10%-100%。</w:t>
            </w:r>
          </w:p>
        </w:tc>
      </w:tr>
      <w:tr w14:paraId="7F707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30A1E7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包42</w:t>
            </w:r>
          </w:p>
        </w:tc>
        <w:tc>
          <w:tcPr>
            <w:tcW w:w="1011" w:type="dxa"/>
            <w:tcBorders>
              <w:tl2br w:val="nil"/>
              <w:tr2bl w:val="nil"/>
            </w:tcBorders>
            <w:noWrap w:val="0"/>
            <w:vAlign w:val="center"/>
          </w:tcPr>
          <w:p w14:paraId="5126AB1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挂式、柜式空调</w:t>
            </w:r>
          </w:p>
        </w:tc>
        <w:tc>
          <w:tcPr>
            <w:tcW w:w="2039" w:type="dxa"/>
            <w:tcBorders>
              <w:tl2br w:val="nil"/>
              <w:tr2bl w:val="nil"/>
            </w:tcBorders>
            <w:noWrap w:val="0"/>
            <w:vAlign w:val="center"/>
          </w:tcPr>
          <w:p w14:paraId="62F8C5A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空调（厂内外操间、办公室等区域）</w:t>
            </w:r>
          </w:p>
        </w:tc>
        <w:tc>
          <w:tcPr>
            <w:tcW w:w="4590" w:type="dxa"/>
            <w:tcBorders>
              <w:tl2br w:val="nil"/>
              <w:tr2bl w:val="nil"/>
            </w:tcBorders>
            <w:noWrap w:val="0"/>
            <w:vAlign w:val="center"/>
          </w:tcPr>
          <w:p w14:paraId="404C92E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2.1、承担过1个工业项目或公共建筑项目的空调（挂式、立式）供货业绩。</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近五年（2020年5月1日至投标截止时间）</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3、本项目接受：制造商的投标和代理商的投标（如允许代理商投标的，一个制造商仅能委托一个代理商参加投标）。</w:t>
            </w:r>
          </w:p>
        </w:tc>
        <w:tc>
          <w:tcPr>
            <w:tcW w:w="5950" w:type="dxa"/>
            <w:tcBorders>
              <w:tl2br w:val="nil"/>
              <w:tr2bl w:val="nil"/>
            </w:tcBorders>
            <w:noWrap w:val="0"/>
            <w:vAlign w:val="center"/>
          </w:tcPr>
          <w:p w14:paraId="68535FA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1、基本功能要求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空调换热管材质为非铜材质，应选用不锈钢。不锈钢应具有良好耐腐蚀性和硬度。不锈钢换热管的外径公差需控制在0~+20mm范围内，壁厚公差需控制在0~0.05mm范围内，且要符合JB/T10503-2017《空调与制冷用高效换热管》等相关规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能效标准：符合国家GB 21455-2019《房间空气调节器能效限定值及能效等级》能效标准，挂式能效等级不低于一级（APF≥5.0），立式不低于一级（APF≥4.5）。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制冷/制热能力：挂式适用面积15-25㎡，制冷量≥3.5kW；立式适用面积30-50㎡，制冷量≥7.1kW，制热效率COP≥3.5。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静音运行：挂式室内机噪音≤40dB(A)，立式≤48dB(A)；室外机符合GB/T 7725-2022噪声规范。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2、智能与健康功能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支持Wi-Fi/APP远程控制及集中管理接口；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配备PM2.5过滤（效率≥90%）、抗菌滤网（符合GB 21551.6-2010）及自动除湿；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具备自清洁功能，蒸发器高温杀菌≥56℃/30分钟。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3、安全与维护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符合GB 4706.1电气安全标准，具备电压保护（170V-265V）、漏电断路功能；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外机防护等级IPX4，适应-15℃~50℃环境；滤网可拆卸清洗，检修口预留标准尺寸。</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4、认证要求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需提供CCC认证、节能认证及第三方检测报告（含性能、噪音、能效数据）。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5、参考格力、海尔、美的等同档次或更高档次品牌。以上参考同档次或高于所列品牌技术标准的材料选择。不具有指定或唯一的意思表示。</w:t>
            </w:r>
          </w:p>
        </w:tc>
      </w:tr>
      <w:tr w14:paraId="446F7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18167C5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包43</w:t>
            </w:r>
          </w:p>
        </w:tc>
        <w:tc>
          <w:tcPr>
            <w:tcW w:w="1011" w:type="dxa"/>
            <w:tcBorders>
              <w:tl2br w:val="nil"/>
              <w:tr2bl w:val="nil"/>
            </w:tcBorders>
            <w:noWrap w:val="0"/>
            <w:vAlign w:val="center"/>
          </w:tcPr>
          <w:p w14:paraId="3FD14F1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柴油装载机</w:t>
            </w:r>
          </w:p>
        </w:tc>
        <w:tc>
          <w:tcPr>
            <w:tcW w:w="2039" w:type="dxa"/>
            <w:tcBorders>
              <w:tl2br w:val="nil"/>
              <w:tr2bl w:val="nil"/>
            </w:tcBorders>
            <w:noWrap w:val="0"/>
            <w:vAlign w:val="center"/>
          </w:tcPr>
          <w:p w14:paraId="41C1FEB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柴油装载机</w:t>
            </w:r>
          </w:p>
        </w:tc>
        <w:tc>
          <w:tcPr>
            <w:tcW w:w="4590" w:type="dxa"/>
            <w:tcBorders>
              <w:tl2br w:val="nil"/>
              <w:tr2bl w:val="nil"/>
            </w:tcBorders>
            <w:noWrap w:val="0"/>
            <w:vAlign w:val="center"/>
          </w:tcPr>
          <w:p w14:paraId="7F78A00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具有一套煤化工或石油化工行业柴油装载机供货业绩。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697018B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1.供货时整机及关键部件要具有产品合格证；发动机、变速箱等关键部件应付说明说及零件图册；整机出厂试验报告。</w:t>
            </w:r>
          </w:p>
        </w:tc>
      </w:tr>
      <w:tr w14:paraId="4E3C8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584E6FF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包44</w:t>
            </w:r>
          </w:p>
        </w:tc>
        <w:tc>
          <w:tcPr>
            <w:tcW w:w="1011" w:type="dxa"/>
            <w:tcBorders>
              <w:tl2br w:val="nil"/>
              <w:tr2bl w:val="nil"/>
            </w:tcBorders>
            <w:noWrap w:val="0"/>
            <w:vAlign w:val="center"/>
          </w:tcPr>
          <w:p w14:paraId="7A40FB7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电动叉车</w:t>
            </w:r>
          </w:p>
        </w:tc>
        <w:tc>
          <w:tcPr>
            <w:tcW w:w="2039" w:type="dxa"/>
            <w:tcBorders>
              <w:tl2br w:val="nil"/>
              <w:tr2bl w:val="nil"/>
            </w:tcBorders>
            <w:noWrap w:val="0"/>
            <w:vAlign w:val="center"/>
          </w:tcPr>
          <w:p w14:paraId="3C8D7A5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电动叉车</w:t>
            </w:r>
          </w:p>
        </w:tc>
        <w:tc>
          <w:tcPr>
            <w:tcW w:w="4590" w:type="dxa"/>
            <w:tcBorders>
              <w:tl2br w:val="nil"/>
              <w:tr2bl w:val="nil"/>
            </w:tcBorders>
            <w:noWrap w:val="0"/>
            <w:vAlign w:val="center"/>
          </w:tcPr>
          <w:p w14:paraId="4F58407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具有一套煤化工或石油化工行业电动叉车供货业绩。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6F48889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1.应符合GB1027JB/T2391JB/T3300等相关叉车产品通用标准。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门架系统的耐久性应能通过10万次试验，不得出现焊缝裂开及较大磨损；前轮胎在400小时内不需更换；驱动桥壳和转向桥体应能承受30万次台架试验等。同时，车速与制动距离也有严格标准，例如车速在20km/h时，空载制动距离不应大于6m；车速在10km/h时，满载制动距离不大于3m。</w:t>
            </w:r>
          </w:p>
        </w:tc>
      </w:tr>
      <w:tr w14:paraId="34D06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4F6A66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包45</w:t>
            </w:r>
          </w:p>
        </w:tc>
        <w:tc>
          <w:tcPr>
            <w:tcW w:w="1011" w:type="dxa"/>
            <w:tcBorders>
              <w:tl2br w:val="nil"/>
              <w:tr2bl w:val="nil"/>
            </w:tcBorders>
            <w:noWrap w:val="0"/>
            <w:vAlign w:val="center"/>
          </w:tcPr>
          <w:p w14:paraId="6521A1B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滤油机</w:t>
            </w:r>
          </w:p>
        </w:tc>
        <w:tc>
          <w:tcPr>
            <w:tcW w:w="2039" w:type="dxa"/>
            <w:tcBorders>
              <w:tl2br w:val="nil"/>
              <w:tr2bl w:val="nil"/>
            </w:tcBorders>
            <w:noWrap w:val="0"/>
            <w:vAlign w:val="center"/>
          </w:tcPr>
          <w:p w14:paraId="43AB380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滤油机</w:t>
            </w:r>
          </w:p>
        </w:tc>
        <w:tc>
          <w:tcPr>
            <w:tcW w:w="4590" w:type="dxa"/>
            <w:tcBorders>
              <w:tl2br w:val="nil"/>
              <w:tr2bl w:val="nil"/>
            </w:tcBorders>
            <w:noWrap w:val="0"/>
            <w:vAlign w:val="center"/>
          </w:tcPr>
          <w:p w14:paraId="16FABEA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具有一套煤化工或石油化工行业滤油机供货业绩。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23AC383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1.滤油机应符合JB/T 5285等相关要求执行，并按照规定程序批准的图样和技术文件制造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2.滤油机选用的材料和外购件具有检验合格证。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3.加热器、过热器、冷凝管和真空管的焊接容器压力试验和气密性试验要符合GB150等相关规定。</w:t>
            </w:r>
          </w:p>
        </w:tc>
      </w:tr>
      <w:tr w14:paraId="5474E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080233E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包46</w:t>
            </w:r>
          </w:p>
        </w:tc>
        <w:tc>
          <w:tcPr>
            <w:tcW w:w="1011" w:type="dxa"/>
            <w:tcBorders>
              <w:tl2br w:val="nil"/>
              <w:tr2bl w:val="nil"/>
            </w:tcBorders>
            <w:noWrap w:val="0"/>
            <w:vAlign w:val="center"/>
          </w:tcPr>
          <w:p w14:paraId="568A17B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自动加药装置（含控制系统）</w:t>
            </w:r>
          </w:p>
        </w:tc>
        <w:tc>
          <w:tcPr>
            <w:tcW w:w="2039" w:type="dxa"/>
            <w:tcBorders>
              <w:tl2br w:val="nil"/>
              <w:tr2bl w:val="nil"/>
            </w:tcBorders>
            <w:noWrap w:val="0"/>
            <w:vAlign w:val="center"/>
          </w:tcPr>
          <w:p w14:paraId="3307C52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自动加药装置（含控制系统）</w:t>
            </w:r>
          </w:p>
        </w:tc>
        <w:tc>
          <w:tcPr>
            <w:tcW w:w="4590" w:type="dxa"/>
            <w:tcBorders>
              <w:tl2br w:val="nil"/>
              <w:tr2bl w:val="nil"/>
            </w:tcBorders>
            <w:noWrap w:val="0"/>
            <w:vAlign w:val="center"/>
          </w:tcPr>
          <w:p w14:paraId="5B3805E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具有一个300MW电厂自动加药装置（含控制系统）的供货业绩。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1B6070D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1、加药泵采用进口品牌；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2、能够连续运行30000小时以上；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3、智能化、精准化加药，能够实现无人值守，有在线水质监测、自动保护等功能。</w:t>
            </w:r>
          </w:p>
        </w:tc>
      </w:tr>
      <w:tr w14:paraId="0019A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2FE55B5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包47</w:t>
            </w:r>
          </w:p>
        </w:tc>
        <w:tc>
          <w:tcPr>
            <w:tcW w:w="1011" w:type="dxa"/>
            <w:tcBorders>
              <w:tl2br w:val="nil"/>
              <w:tr2bl w:val="nil"/>
            </w:tcBorders>
            <w:noWrap w:val="0"/>
            <w:vAlign w:val="center"/>
          </w:tcPr>
          <w:p w14:paraId="544CE98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保温材料</w:t>
            </w:r>
          </w:p>
        </w:tc>
        <w:tc>
          <w:tcPr>
            <w:tcW w:w="2039" w:type="dxa"/>
            <w:tcBorders>
              <w:tl2br w:val="nil"/>
              <w:tr2bl w:val="nil"/>
            </w:tcBorders>
            <w:noWrap w:val="0"/>
            <w:vAlign w:val="center"/>
          </w:tcPr>
          <w:p w14:paraId="339EEB7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保温材料</w:t>
            </w:r>
          </w:p>
        </w:tc>
        <w:tc>
          <w:tcPr>
            <w:tcW w:w="4590" w:type="dxa"/>
            <w:tcBorders>
              <w:tl2br w:val="nil"/>
              <w:tr2bl w:val="nil"/>
            </w:tcBorders>
            <w:noWrap w:val="0"/>
            <w:vAlign w:val="center"/>
          </w:tcPr>
          <w:p w14:paraId="7859D3E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具有一套煤化工或石油化工行业保温材料供货业绩。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2D1BAA4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1.生产环境配置有除尘设备及除尘工艺。 </w:t>
            </w:r>
          </w:p>
        </w:tc>
      </w:tr>
      <w:tr w14:paraId="3D62B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093182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包48</w:t>
            </w:r>
          </w:p>
        </w:tc>
        <w:tc>
          <w:tcPr>
            <w:tcW w:w="1011" w:type="dxa"/>
            <w:tcBorders>
              <w:tl2br w:val="nil"/>
              <w:tr2bl w:val="nil"/>
            </w:tcBorders>
            <w:noWrap w:val="0"/>
            <w:vAlign w:val="center"/>
          </w:tcPr>
          <w:p w14:paraId="54CC93A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防腐涂料1</w:t>
            </w:r>
          </w:p>
        </w:tc>
        <w:tc>
          <w:tcPr>
            <w:tcW w:w="2039" w:type="dxa"/>
            <w:tcBorders>
              <w:tl2br w:val="nil"/>
              <w:tr2bl w:val="nil"/>
            </w:tcBorders>
            <w:noWrap w:val="0"/>
            <w:vAlign w:val="center"/>
          </w:tcPr>
          <w:p w14:paraId="11EDFFA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重要防腐</w:t>
            </w:r>
          </w:p>
        </w:tc>
        <w:tc>
          <w:tcPr>
            <w:tcW w:w="4590" w:type="dxa"/>
            <w:tcBorders>
              <w:tl2br w:val="nil"/>
              <w:tr2bl w:val="nil"/>
            </w:tcBorders>
            <w:noWrap w:val="0"/>
            <w:vAlign w:val="center"/>
          </w:tcPr>
          <w:p w14:paraId="3E99E02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具有一套煤化工或石油化工行业重要防腐供货业绩。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79041A5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富锌底漆（包括环氧富锌及无机富锌）金属锌含量≥75%，锌粉含量≥80%.锌粉中铅含量≦0.01%。应用于埋地、浸没或者保温层下的厚浆环氧漆应具有船级社颁发的PSPC证书。应用于重腐蚀部位的环氧玻璃鳞片漆/应具有NORSOK M501认证证书以及船级社颁发的 PSPC证书；                                                                                   2、应具有有效的危险化学品经营许可证和拥有固定的生产场地和库房。通过国际知名船级社ABS/DNV-GL/BV等认证。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3、适用于联碱、制盐等重锈区域。</w:t>
            </w:r>
          </w:p>
        </w:tc>
      </w:tr>
      <w:tr w14:paraId="0058C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6B74628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包49</w:t>
            </w:r>
          </w:p>
        </w:tc>
        <w:tc>
          <w:tcPr>
            <w:tcW w:w="1011" w:type="dxa"/>
            <w:tcBorders>
              <w:tl2br w:val="nil"/>
              <w:tr2bl w:val="nil"/>
            </w:tcBorders>
            <w:noWrap w:val="0"/>
            <w:vAlign w:val="center"/>
          </w:tcPr>
          <w:p w14:paraId="72E06E0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防腐涂料2</w:t>
            </w:r>
          </w:p>
        </w:tc>
        <w:tc>
          <w:tcPr>
            <w:tcW w:w="2039" w:type="dxa"/>
            <w:tcBorders>
              <w:tl2br w:val="nil"/>
              <w:tr2bl w:val="nil"/>
            </w:tcBorders>
            <w:noWrap w:val="0"/>
            <w:vAlign w:val="center"/>
          </w:tcPr>
          <w:p w14:paraId="073033C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次重要及一般防腐</w:t>
            </w:r>
          </w:p>
        </w:tc>
        <w:tc>
          <w:tcPr>
            <w:tcW w:w="4590" w:type="dxa"/>
            <w:tcBorders>
              <w:tl2br w:val="nil"/>
              <w:tr2bl w:val="nil"/>
            </w:tcBorders>
            <w:noWrap w:val="0"/>
            <w:vAlign w:val="center"/>
          </w:tcPr>
          <w:p w14:paraId="314F35D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具有一套煤化工或石油化工行业次重要及一般防腐供货业绩。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1BCB672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1、富锌底漆（包括环氧富锌及无机富锌）金属锌含量≥75%，锌粉含量≥80%.锌粉中铅含量≦0.01%。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2、整个涂层系统要求：无起泡、无生锈、无开裂、无剥落、单向腐蚀蔓延&lt;1.5mm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3、适用于合成氨、公用工程、外管靠合成氨等中锈及以下区域。</w:t>
            </w:r>
          </w:p>
        </w:tc>
      </w:tr>
      <w:tr w14:paraId="5C4B0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4060805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包50</w:t>
            </w:r>
          </w:p>
        </w:tc>
        <w:tc>
          <w:tcPr>
            <w:tcW w:w="1011" w:type="dxa"/>
            <w:tcBorders>
              <w:tl2br w:val="nil"/>
              <w:tr2bl w:val="nil"/>
            </w:tcBorders>
            <w:noWrap w:val="0"/>
            <w:vAlign w:val="center"/>
          </w:tcPr>
          <w:p w14:paraId="5EAA0F0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防火涂料</w:t>
            </w:r>
          </w:p>
        </w:tc>
        <w:tc>
          <w:tcPr>
            <w:tcW w:w="2039" w:type="dxa"/>
            <w:tcBorders>
              <w:tl2br w:val="nil"/>
              <w:tr2bl w:val="nil"/>
            </w:tcBorders>
            <w:noWrap w:val="0"/>
            <w:vAlign w:val="center"/>
          </w:tcPr>
          <w:p w14:paraId="7F56685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防火涂料</w:t>
            </w:r>
          </w:p>
        </w:tc>
        <w:tc>
          <w:tcPr>
            <w:tcW w:w="4590" w:type="dxa"/>
            <w:tcBorders>
              <w:tl2br w:val="nil"/>
              <w:tr2bl w:val="nil"/>
            </w:tcBorders>
            <w:noWrap w:val="0"/>
            <w:vAlign w:val="center"/>
          </w:tcPr>
          <w:p w14:paraId="73DC990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具有一套煤化工或石油化工行业防火涂料供货业绩。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7F81B9E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‌1.薄涂型‌（膨胀型）：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粘结强度≥0.15MPa，耐水性≥24小时，耐冻融循环≥15次。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‌2.厚涂型‌（非膨胀型）：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粘结强度≥0.04MPa，抗压强度≥0.3MPa，干密度≤500kg/m³。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3.钢柱及转换梁：耐火极限≥3小时，需采用厚型防火涂料（非膨胀型）。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4.钢梁、支撑及钢板剪力墙：耐火极限≥2小时。</w:t>
            </w:r>
          </w:p>
        </w:tc>
      </w:tr>
      <w:tr w14:paraId="5B188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05B2BD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包51</w:t>
            </w:r>
          </w:p>
        </w:tc>
        <w:tc>
          <w:tcPr>
            <w:tcW w:w="1011" w:type="dxa"/>
            <w:tcBorders>
              <w:tl2br w:val="nil"/>
              <w:tr2bl w:val="nil"/>
            </w:tcBorders>
            <w:noWrap w:val="0"/>
            <w:vAlign w:val="center"/>
          </w:tcPr>
          <w:p w14:paraId="5A09880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蒸汽保温气凝胶</w:t>
            </w:r>
          </w:p>
        </w:tc>
        <w:tc>
          <w:tcPr>
            <w:tcW w:w="2039" w:type="dxa"/>
            <w:tcBorders>
              <w:tl2br w:val="nil"/>
              <w:tr2bl w:val="nil"/>
            </w:tcBorders>
            <w:noWrap w:val="0"/>
            <w:vAlign w:val="center"/>
          </w:tcPr>
          <w:p w14:paraId="2803090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蒸汽保温气凝胶</w:t>
            </w:r>
          </w:p>
        </w:tc>
        <w:tc>
          <w:tcPr>
            <w:tcW w:w="4590" w:type="dxa"/>
            <w:tcBorders>
              <w:tl2br w:val="nil"/>
              <w:tr2bl w:val="nil"/>
            </w:tcBorders>
            <w:noWrap w:val="0"/>
            <w:vAlign w:val="center"/>
          </w:tcPr>
          <w:p w14:paraId="304ED21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具有一套煤化工或石油化工行业蒸汽保温气凝胶供货业绩。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3A76E30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strike/>
                <w:dstrike w:val="0"/>
                <w:color w:val="000000"/>
                <w:kern w:val="0"/>
                <w:sz w:val="18"/>
                <w:szCs w:val="18"/>
                <w:highlight w:val="none"/>
                <w:lang w:val="en-US" w:eastAsia="zh-CN" w:bidi="ar"/>
              </w:rPr>
              <w:br w:type="textWrapping"/>
            </w:r>
            <w:r>
              <w:rPr>
                <w:rFonts w:hint="eastAsia" w:ascii="宋体" w:hAnsi="宋体" w:eastAsia="宋体" w:cs="宋体"/>
                <w:i w:val="0"/>
                <w:iCs w:val="0"/>
                <w:strike/>
                <w:dstrike w:val="0"/>
                <w:color w:val="000000"/>
                <w:kern w:val="0"/>
                <w:sz w:val="18"/>
                <w:szCs w:val="18"/>
                <w:highlight w:val="none"/>
                <w:u w:val="none"/>
                <w:lang w:val="en-US" w:eastAsia="zh-CN" w:bidi="ar"/>
              </w:rPr>
              <w:t>1.气凝胶的防火等级要符合GB8624-2012等相关规定。</w:t>
            </w:r>
          </w:p>
        </w:tc>
      </w:tr>
      <w:tr w14:paraId="5E4FC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6B1B9C5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包52</w:t>
            </w:r>
          </w:p>
        </w:tc>
        <w:tc>
          <w:tcPr>
            <w:tcW w:w="1011" w:type="dxa"/>
            <w:tcBorders>
              <w:tl2br w:val="nil"/>
              <w:tr2bl w:val="nil"/>
            </w:tcBorders>
            <w:noWrap w:val="0"/>
            <w:vAlign w:val="center"/>
          </w:tcPr>
          <w:p w14:paraId="3043C7B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最小流量保护阀</w:t>
            </w:r>
          </w:p>
        </w:tc>
        <w:tc>
          <w:tcPr>
            <w:tcW w:w="2039" w:type="dxa"/>
            <w:tcBorders>
              <w:tl2br w:val="nil"/>
              <w:tr2bl w:val="nil"/>
            </w:tcBorders>
            <w:noWrap w:val="0"/>
            <w:vAlign w:val="center"/>
          </w:tcPr>
          <w:p w14:paraId="4BE6455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最小流量保护阀</w:t>
            </w:r>
          </w:p>
        </w:tc>
        <w:tc>
          <w:tcPr>
            <w:tcW w:w="4590" w:type="dxa"/>
            <w:tcBorders>
              <w:tl2br w:val="nil"/>
              <w:tr2bl w:val="nil"/>
            </w:tcBorders>
            <w:noWrap w:val="0"/>
            <w:vAlign w:val="center"/>
          </w:tcPr>
          <w:p w14:paraId="3F05E60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具有种设备生产许可证（TS证书）和型式试验证书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具有一个300MW电厂最小流量保护阀的供货业绩。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501F297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1、具有止回阀和安全保护功能，与主阀一体化设计；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2、压力17Mpa、温度400度以上；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3、旁路打开时最小流量为主路流量的10-20%。</w:t>
            </w:r>
          </w:p>
        </w:tc>
      </w:tr>
      <w:tr w14:paraId="37727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34E7A25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包53</w:t>
            </w:r>
          </w:p>
        </w:tc>
        <w:tc>
          <w:tcPr>
            <w:tcW w:w="1011" w:type="dxa"/>
            <w:tcBorders>
              <w:tl2br w:val="nil"/>
              <w:tr2bl w:val="nil"/>
            </w:tcBorders>
            <w:noWrap w:val="0"/>
            <w:vAlign w:val="center"/>
          </w:tcPr>
          <w:p w14:paraId="0DCA9A6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珠光砂</w:t>
            </w:r>
          </w:p>
        </w:tc>
        <w:tc>
          <w:tcPr>
            <w:tcW w:w="2039" w:type="dxa"/>
            <w:tcBorders>
              <w:tl2br w:val="nil"/>
              <w:tr2bl w:val="nil"/>
            </w:tcBorders>
            <w:noWrap w:val="0"/>
            <w:vAlign w:val="center"/>
          </w:tcPr>
          <w:p w14:paraId="6903CA3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珠光砂</w:t>
            </w:r>
          </w:p>
        </w:tc>
        <w:tc>
          <w:tcPr>
            <w:tcW w:w="4590" w:type="dxa"/>
            <w:tcBorders>
              <w:tl2br w:val="nil"/>
              <w:tr2bl w:val="nil"/>
            </w:tcBorders>
            <w:noWrap w:val="0"/>
            <w:vAlign w:val="center"/>
          </w:tcPr>
          <w:p w14:paraId="6159895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具有一套煤化工或石油化工行业珠光砂供货业绩。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6AD7137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1.生产环境配置有除尘设备及除尘工艺。</w:t>
            </w:r>
          </w:p>
        </w:tc>
      </w:tr>
      <w:tr w14:paraId="6B079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l2br w:val="nil"/>
              <w:tr2bl w:val="nil"/>
            </w:tcBorders>
            <w:noWrap w:val="0"/>
            <w:vAlign w:val="center"/>
          </w:tcPr>
          <w:p w14:paraId="1B98278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包54</w:t>
            </w:r>
          </w:p>
        </w:tc>
        <w:tc>
          <w:tcPr>
            <w:tcW w:w="1011" w:type="dxa"/>
            <w:tcBorders>
              <w:tl2br w:val="nil"/>
              <w:tr2bl w:val="nil"/>
            </w:tcBorders>
            <w:noWrap w:val="0"/>
            <w:vAlign w:val="center"/>
          </w:tcPr>
          <w:p w14:paraId="778EEF0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树脂及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玻璃鳞片胶泥</w:t>
            </w:r>
          </w:p>
        </w:tc>
        <w:tc>
          <w:tcPr>
            <w:tcW w:w="2039" w:type="dxa"/>
            <w:tcBorders>
              <w:tl2br w:val="nil"/>
              <w:tr2bl w:val="nil"/>
            </w:tcBorders>
            <w:noWrap w:val="0"/>
            <w:vAlign w:val="center"/>
          </w:tcPr>
          <w:p w14:paraId="5CD9E3E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树脂及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玻璃鳞片胶泥</w:t>
            </w:r>
          </w:p>
        </w:tc>
        <w:tc>
          <w:tcPr>
            <w:tcW w:w="4590" w:type="dxa"/>
            <w:tcBorders>
              <w:tl2br w:val="nil"/>
              <w:tr2bl w:val="nil"/>
            </w:tcBorders>
            <w:noWrap w:val="0"/>
            <w:vAlign w:val="center"/>
          </w:tcPr>
          <w:p w14:paraId="7806522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具有一个制盐或强氯离子腐蚀工况内大型储罐的树脂及玻璃鳞片胶泥使用/供货业绩。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0085FAE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100 μm底漆+2000 μm玻璃鳞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片胶泥+100μm面漆</w:t>
            </w:r>
          </w:p>
        </w:tc>
      </w:tr>
      <w:tr w14:paraId="30917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tcBorders>
              <w:tl2br w:val="nil"/>
              <w:tr2bl w:val="nil"/>
            </w:tcBorders>
            <w:noWrap w:val="0"/>
            <w:vAlign w:val="center"/>
          </w:tcPr>
          <w:p w14:paraId="380DFBC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包55</w:t>
            </w:r>
          </w:p>
        </w:tc>
        <w:tc>
          <w:tcPr>
            <w:tcW w:w="1011" w:type="dxa"/>
            <w:vMerge w:val="restart"/>
            <w:tcBorders>
              <w:tl2br w:val="nil"/>
              <w:tr2bl w:val="nil"/>
            </w:tcBorders>
            <w:noWrap w:val="0"/>
            <w:vAlign w:val="center"/>
          </w:tcPr>
          <w:p w14:paraId="219EC71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振动筛（不分）</w:t>
            </w:r>
          </w:p>
        </w:tc>
        <w:tc>
          <w:tcPr>
            <w:tcW w:w="2039" w:type="dxa"/>
            <w:tcBorders>
              <w:tl2br w:val="nil"/>
              <w:tr2bl w:val="nil"/>
            </w:tcBorders>
            <w:noWrap w:val="0"/>
            <w:vAlign w:val="center"/>
          </w:tcPr>
          <w:p w14:paraId="20E0A67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直线振动筛(制盐）</w:t>
            </w:r>
          </w:p>
        </w:tc>
        <w:tc>
          <w:tcPr>
            <w:tcW w:w="4590" w:type="dxa"/>
            <w:vMerge w:val="restart"/>
            <w:tcBorders>
              <w:tl2br w:val="nil"/>
              <w:tr2bl w:val="nil"/>
            </w:tcBorders>
            <w:noWrap w:val="0"/>
            <w:vAlign w:val="center"/>
          </w:tcPr>
          <w:p w14:paraId="3DBB09F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具有一套联碱行业内振动筛供货业绩。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3E257F2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处理能力：≥37.5吨/h</w:t>
            </w:r>
          </w:p>
        </w:tc>
      </w:tr>
      <w:tr w14:paraId="4D9F3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66D4DF67">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4AF41EF9">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26E65DA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干铵振动筛（联碱）</w:t>
            </w:r>
          </w:p>
        </w:tc>
        <w:tc>
          <w:tcPr>
            <w:tcW w:w="4590" w:type="dxa"/>
            <w:vMerge w:val="continue"/>
            <w:tcBorders>
              <w:tl2br w:val="nil"/>
              <w:tr2bl w:val="nil"/>
            </w:tcBorders>
            <w:noWrap w:val="0"/>
            <w:vAlign w:val="center"/>
          </w:tcPr>
          <w:p w14:paraId="3CF25FE2">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851630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1、筛网材质轻重灰为304不锈钢，与物料接触部分为不锈钢材质；干铵使用筛材质全部为316L；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2、碳钢材质防腐要求为除锈达到Sa2.5要求，防腐漆两底两中两面；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3、碱筛运行满足生产能力要求，期间不准出现有漏的现象发生；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4、出筛网的成品或者细粉出料口接头预留合理；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5.62.5t/h</w:t>
            </w:r>
          </w:p>
        </w:tc>
      </w:tr>
      <w:tr w14:paraId="51326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2B952FAD">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4480BBCD">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6DE1FF2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重碱碱筛（联碱）</w:t>
            </w:r>
          </w:p>
        </w:tc>
        <w:tc>
          <w:tcPr>
            <w:tcW w:w="4590" w:type="dxa"/>
            <w:vMerge w:val="continue"/>
            <w:tcBorders>
              <w:tl2br w:val="nil"/>
              <w:tr2bl w:val="nil"/>
            </w:tcBorders>
            <w:noWrap w:val="0"/>
            <w:vAlign w:val="center"/>
          </w:tcPr>
          <w:p w14:paraId="62BFE09E">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AFC489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1、筛网材质轻重灰为304不锈钢，与物料接触部分为不锈钢材质；干铵使用筛材质全部为316L；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2、碳钢材质防腐要求为除锈达到Sa2.5要求，防腐漆两底两中两面；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3、碱筛运行满足生产能力要求，期间不准出现有漏的现象发生；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4、出筛网的成品或者细粉出料口接头预留合理；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5.30t/h</w:t>
            </w:r>
          </w:p>
        </w:tc>
      </w:tr>
      <w:tr w14:paraId="3C65B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020249B1">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53D1A672">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02DF39F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滚筒筛（轻重碱_联碱）</w:t>
            </w:r>
          </w:p>
        </w:tc>
        <w:tc>
          <w:tcPr>
            <w:tcW w:w="4590" w:type="dxa"/>
            <w:vMerge w:val="continue"/>
            <w:tcBorders>
              <w:tl2br w:val="nil"/>
              <w:tr2bl w:val="nil"/>
            </w:tcBorders>
            <w:noWrap w:val="0"/>
            <w:vAlign w:val="center"/>
          </w:tcPr>
          <w:p w14:paraId="56A3AE82">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67114DE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1、筛网材质轻重灰为304不锈钢，与物料接触部分为不锈钢材质；干铵使用筛材质全部为316L；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2、碳钢材质防腐要求为除锈达到Sa2.5要求，防腐漆两底两中两面；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3、碱筛运行满足生产能力要求，期间不准出现有漏的现象发生；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4、出筛网的成品或者细粉出料口接头预留合理；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5.50~120t/h</w:t>
            </w:r>
          </w:p>
        </w:tc>
      </w:tr>
      <w:tr w14:paraId="44AFD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tcBorders>
              <w:tl2br w:val="nil"/>
              <w:tr2bl w:val="nil"/>
            </w:tcBorders>
            <w:noWrap w:val="0"/>
            <w:vAlign w:val="center"/>
          </w:tcPr>
          <w:p w14:paraId="6BDD28D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包56</w:t>
            </w:r>
          </w:p>
        </w:tc>
        <w:tc>
          <w:tcPr>
            <w:tcW w:w="1011" w:type="dxa"/>
            <w:vMerge w:val="restart"/>
            <w:tcBorders>
              <w:tl2br w:val="nil"/>
              <w:tr2bl w:val="nil"/>
            </w:tcBorders>
            <w:noWrap w:val="0"/>
            <w:vAlign w:val="center"/>
          </w:tcPr>
          <w:p w14:paraId="336B7D0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输送机</w:t>
            </w:r>
          </w:p>
        </w:tc>
        <w:tc>
          <w:tcPr>
            <w:tcW w:w="2039" w:type="dxa"/>
            <w:tcBorders>
              <w:tl2br w:val="nil"/>
              <w:tr2bl w:val="nil"/>
            </w:tcBorders>
            <w:noWrap w:val="0"/>
            <w:vAlign w:val="center"/>
          </w:tcPr>
          <w:p w14:paraId="3F16D75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散湿盐斗提机（制盐）</w:t>
            </w:r>
          </w:p>
        </w:tc>
        <w:tc>
          <w:tcPr>
            <w:tcW w:w="4590" w:type="dxa"/>
            <w:vMerge w:val="restart"/>
            <w:tcBorders>
              <w:tl2br w:val="nil"/>
              <w:tr2bl w:val="nil"/>
            </w:tcBorders>
            <w:noWrap w:val="0"/>
            <w:vAlign w:val="center"/>
          </w:tcPr>
          <w:p w14:paraId="15012BD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具有一套联碱行业内输送机供货业绩。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30FEA84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1.环境温度—10～70℃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2.料斗、链条、链轮、壳体为S31603,密封件为硅胶材质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3.轴承参考于所列品牌技术标准的。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4.减速机参考FLENDER、SEW、KUMERA等同档次或高于所列品牌技术标准的材料选择。不具有指定或唯一的意思表示。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5.输送能力≥300t/h</w:t>
            </w:r>
          </w:p>
        </w:tc>
      </w:tr>
      <w:tr w14:paraId="79EBA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6CC29D20">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0CF54FA0">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427A0D1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芒硝斗提机（制盐）</w:t>
            </w:r>
          </w:p>
        </w:tc>
        <w:tc>
          <w:tcPr>
            <w:tcW w:w="4590" w:type="dxa"/>
            <w:vMerge w:val="continue"/>
            <w:tcBorders>
              <w:tl2br w:val="nil"/>
              <w:tr2bl w:val="nil"/>
            </w:tcBorders>
            <w:noWrap w:val="0"/>
            <w:vAlign w:val="center"/>
          </w:tcPr>
          <w:p w14:paraId="07D52558">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17CED07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1.环境温度—10～110℃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2.料斗、链条、链轮、壳体为S31603,密封件为硅胶材质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3.轴承参考哈尔滨轴承、瓦房店轴承、洛阳轴承等同档次或高于所列品牌技术标准的材料选择。不具有指定或唯一的意思表示。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4.减速机参考FLENDER、SEW、KUMERA等同档次或高于所列品牌技术标准的材料选择。不具有指定或唯一的意思表示。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5.输送能力≥37.5t/h</w:t>
            </w:r>
          </w:p>
        </w:tc>
      </w:tr>
      <w:tr w14:paraId="31FF8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2B783BF2">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2E44D6C6">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14B8E49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芒硝螺旋输送机（制盐）</w:t>
            </w:r>
          </w:p>
        </w:tc>
        <w:tc>
          <w:tcPr>
            <w:tcW w:w="4590" w:type="dxa"/>
            <w:vMerge w:val="continue"/>
            <w:tcBorders>
              <w:tl2br w:val="nil"/>
              <w:tr2bl w:val="nil"/>
            </w:tcBorders>
            <w:noWrap w:val="0"/>
            <w:vAlign w:val="center"/>
          </w:tcPr>
          <w:p w14:paraId="0E5BA76C">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4925CA8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1.环境温度—10～110℃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2.轴、叶片、盖板、壳体材料为s31603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3.轴承参考哈尔滨轴承、瓦房店轴承、洛阳轴承等同档次或高于所列品牌技术标准的材料选择。不具有指定或唯一的意思表示。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4.减速机参考FLENDER、SEW、KUMERA等同档次或高于所列品牌技术标准的材料选择。不具有指定或唯一的意思表示。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5.输送能力≥37.5t/h</w:t>
            </w:r>
          </w:p>
        </w:tc>
      </w:tr>
      <w:tr w14:paraId="2E0F2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1A25E54F">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054625C8">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3C30014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返铵埋刮板输送机（联碱）</w:t>
            </w:r>
          </w:p>
        </w:tc>
        <w:tc>
          <w:tcPr>
            <w:tcW w:w="4590" w:type="dxa"/>
            <w:vMerge w:val="continue"/>
            <w:tcBorders>
              <w:tl2br w:val="nil"/>
              <w:tr2bl w:val="nil"/>
            </w:tcBorders>
            <w:noWrap w:val="0"/>
            <w:vAlign w:val="center"/>
          </w:tcPr>
          <w:p w14:paraId="70CB2DFB">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2182F40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1、氯化铵干铵湿铵刮板使用不锈钢刮板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2、最终长度、角度、进料口位置和落料口位置需根据厂房布置，每台埋刮板1个进料口，1个出料量，5-6米至少1个抽风口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3、埋刮板设置抽风口，抽风口尺寸DN150，厂家需考虑埋刮板出现负压的可能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4、设备采用单箱体，配滚子链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5、电机防护等级IP54，绝缘等级F，配备减速机安全系数不低1.2；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6.MX1000; 200t/h; 0.36m/s; 22kW</w:t>
            </w:r>
          </w:p>
        </w:tc>
      </w:tr>
      <w:tr w14:paraId="676B7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5440F169">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7ACF041D">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7D078FC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湿铵埋刮板输送机（联碱）</w:t>
            </w:r>
          </w:p>
        </w:tc>
        <w:tc>
          <w:tcPr>
            <w:tcW w:w="4590" w:type="dxa"/>
            <w:vMerge w:val="continue"/>
            <w:tcBorders>
              <w:tl2br w:val="nil"/>
              <w:tr2bl w:val="nil"/>
            </w:tcBorders>
            <w:noWrap w:val="0"/>
            <w:vAlign w:val="center"/>
          </w:tcPr>
          <w:p w14:paraId="30E0D745">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6F2358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1、氯化铵干铵湿铵刮板使用不锈钢刮板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2、最终长度、角度、进料口位置和落料口位置需根据厂房布置，每台埋刮板1个进料口，1个出料量，5-6米至少1个抽风口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3、埋刮板设置抽风口，抽风口尺寸DN150，厂家需考虑埋刮板出现负压的可能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4、设备采用单箱体，配滚子链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5、电机防护等级不低于IP54，绝缘等级F，配备减速机安全系数不低于1.2；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6.MX700; 100t/h; 0.34m/s; 37kW</w:t>
            </w:r>
          </w:p>
        </w:tc>
      </w:tr>
      <w:tr w14:paraId="24A24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49B6D4F5">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74568C7F">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3780A7F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出碱埋刮板输送机（联碱）</w:t>
            </w:r>
          </w:p>
        </w:tc>
        <w:tc>
          <w:tcPr>
            <w:tcW w:w="4590" w:type="dxa"/>
            <w:vMerge w:val="continue"/>
            <w:tcBorders>
              <w:tl2br w:val="nil"/>
              <w:tr2bl w:val="nil"/>
            </w:tcBorders>
            <w:noWrap w:val="0"/>
            <w:vAlign w:val="center"/>
          </w:tcPr>
          <w:p w14:paraId="61C20E20">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7BADE9E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1.Q≥300t/h，功率：90kW ；MX1000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输送长度L=86192mm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1D8FD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5A20CD24">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4BDEE83F">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72C8396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返碱埋刮板输送机（联碱）</w:t>
            </w:r>
          </w:p>
        </w:tc>
        <w:tc>
          <w:tcPr>
            <w:tcW w:w="4590" w:type="dxa"/>
            <w:vMerge w:val="continue"/>
            <w:tcBorders>
              <w:tl2br w:val="nil"/>
              <w:tr2bl w:val="nil"/>
            </w:tcBorders>
            <w:noWrap w:val="0"/>
            <w:vAlign w:val="center"/>
          </w:tcPr>
          <w:p w14:paraId="18D59E36">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15A3E81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1.Q≥220t/h，功率：90kW；MX1000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输送长度L=43159mm提升高度H=17700mm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4986A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138ED123">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3D815623">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4B83B07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轻灰分配埋刮板输送机（联碱</w:t>
            </w:r>
          </w:p>
        </w:tc>
        <w:tc>
          <w:tcPr>
            <w:tcW w:w="4590" w:type="dxa"/>
            <w:vMerge w:val="continue"/>
            <w:tcBorders>
              <w:tl2br w:val="nil"/>
              <w:tr2bl w:val="nil"/>
            </w:tcBorders>
            <w:noWrap w:val="0"/>
            <w:vAlign w:val="center"/>
          </w:tcPr>
          <w:p w14:paraId="4D0A4680">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E5B2BD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1.带宽B=1300mm；输送距离52500mm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Q≥300t/h，功率132kW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01B0E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7C00D93C">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2AA1F9CE">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11B1BA2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成品轻灰埋刮板输送机（联碱）</w:t>
            </w:r>
          </w:p>
        </w:tc>
        <w:tc>
          <w:tcPr>
            <w:tcW w:w="4590" w:type="dxa"/>
            <w:vMerge w:val="continue"/>
            <w:tcBorders>
              <w:tl2br w:val="nil"/>
              <w:tr2bl w:val="nil"/>
            </w:tcBorders>
            <w:noWrap w:val="0"/>
            <w:vAlign w:val="center"/>
          </w:tcPr>
          <w:p w14:paraId="15EE7CF1">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27D1F59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1.MX600 ；输送距离L=21000mm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Q≥225t/h，功率45kW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0FF6A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3440DA73">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6866DB8A">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0BC294D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重灰埋刮板输送机（联碱）</w:t>
            </w:r>
          </w:p>
        </w:tc>
        <w:tc>
          <w:tcPr>
            <w:tcW w:w="4590" w:type="dxa"/>
            <w:vMerge w:val="continue"/>
            <w:tcBorders>
              <w:tl2br w:val="nil"/>
              <w:tr2bl w:val="nil"/>
            </w:tcBorders>
            <w:noWrap w:val="0"/>
            <w:vAlign w:val="center"/>
          </w:tcPr>
          <w:p w14:paraId="27AFACBF">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76C0CCD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1.MX600；输送距离L=29055mm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Q≥225t/h，功率75k</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3DDE7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3AC70F84">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32665E9F">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511447E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重灰分配埋刮板输送机（联碱）</w:t>
            </w:r>
          </w:p>
        </w:tc>
        <w:tc>
          <w:tcPr>
            <w:tcW w:w="4590" w:type="dxa"/>
            <w:vMerge w:val="continue"/>
            <w:tcBorders>
              <w:tl2br w:val="nil"/>
              <w:tr2bl w:val="nil"/>
            </w:tcBorders>
            <w:noWrap w:val="0"/>
            <w:vAlign w:val="center"/>
          </w:tcPr>
          <w:p w14:paraId="54451DD0">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78A1668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1.MX600 ；输送距离L=23450mm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Q≥225t/h，功率45kW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56747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3EF8DAE6">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03FA8A1D">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5CE7C78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成品重灰埋刮板输送机（联碱）</w:t>
            </w:r>
          </w:p>
        </w:tc>
        <w:tc>
          <w:tcPr>
            <w:tcW w:w="4590" w:type="dxa"/>
            <w:vMerge w:val="continue"/>
            <w:tcBorders>
              <w:tl2br w:val="nil"/>
              <w:tr2bl w:val="nil"/>
            </w:tcBorders>
            <w:noWrap w:val="0"/>
            <w:vAlign w:val="center"/>
          </w:tcPr>
          <w:p w14:paraId="624868BC">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2BFDBEF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1.MX600；输送距离L=21000mm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Q≥225t/h，功率45kW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37E43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4EF14EB7">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3A961CB1">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02FC355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颗粒碱埋刮板输送机（联碱）</w:t>
            </w:r>
          </w:p>
        </w:tc>
        <w:tc>
          <w:tcPr>
            <w:tcW w:w="4590" w:type="dxa"/>
            <w:vMerge w:val="continue"/>
            <w:tcBorders>
              <w:tl2br w:val="nil"/>
              <w:tr2bl w:val="nil"/>
            </w:tcBorders>
            <w:noWrap w:val="0"/>
            <w:vAlign w:val="center"/>
          </w:tcPr>
          <w:p w14:paraId="2B420695">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5825322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1.MS20 ；输送距离L=22972mm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Q≥15t/h，功率7.5kW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5B477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395D16C9">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224081CE">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674F58F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轻灰埋刮板输送机（联碱）</w:t>
            </w:r>
          </w:p>
        </w:tc>
        <w:tc>
          <w:tcPr>
            <w:tcW w:w="4590" w:type="dxa"/>
            <w:vMerge w:val="continue"/>
            <w:tcBorders>
              <w:tl2br w:val="nil"/>
              <w:tr2bl w:val="nil"/>
            </w:tcBorders>
            <w:noWrap w:val="0"/>
            <w:vAlign w:val="center"/>
          </w:tcPr>
          <w:p w14:paraId="33C2FD9C">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1E79697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1.B=1000 mm, v=0.34 m/s, α=0 º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L(A)=L(B)=58m, N=55KW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Q≥150 t/h, r=0.5t/m3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成套：断链保护、速度开关、堵料开关及控制箱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44912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76AB8129">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3AD2465A">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25C0105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成品布料埋刮板输送机（联碱）</w:t>
            </w:r>
          </w:p>
        </w:tc>
        <w:tc>
          <w:tcPr>
            <w:tcW w:w="4590" w:type="dxa"/>
            <w:vMerge w:val="continue"/>
            <w:tcBorders>
              <w:tl2br w:val="nil"/>
              <w:tr2bl w:val="nil"/>
            </w:tcBorders>
            <w:noWrap w:val="0"/>
            <w:vAlign w:val="center"/>
          </w:tcPr>
          <w:p w14:paraId="1898F06B">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3315214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1.B=700 mm, v=0.34 m/s, α=0 º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L(A)=52m, L(B)=46m, N=55KW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Q≥150 t/h, r=0.5t/m3成套：断链保护、速度开关、堵料开关及控制箱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546E4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6DB10B38">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0594CEC5">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16423FE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轻灰斗提机（联碱）</w:t>
            </w:r>
          </w:p>
        </w:tc>
        <w:tc>
          <w:tcPr>
            <w:tcW w:w="4590" w:type="dxa"/>
            <w:vMerge w:val="continue"/>
            <w:tcBorders>
              <w:tl2br w:val="nil"/>
              <w:tr2bl w:val="nil"/>
            </w:tcBorders>
            <w:noWrap w:val="0"/>
            <w:vAlign w:val="center"/>
          </w:tcPr>
          <w:p w14:paraId="6B5D0D4F">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75E4225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1.斗宽B=1000mm ；提升高度H=36000mmQ≥300t/h功率90+18.5kW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7D7AB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7876AF0B">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35CBEFB6">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5E1658F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重质碱斗提机（联碱）</w:t>
            </w:r>
          </w:p>
        </w:tc>
        <w:tc>
          <w:tcPr>
            <w:tcW w:w="4590" w:type="dxa"/>
            <w:vMerge w:val="continue"/>
            <w:tcBorders>
              <w:tl2br w:val="nil"/>
              <w:tr2bl w:val="nil"/>
            </w:tcBorders>
            <w:noWrap w:val="0"/>
            <w:vAlign w:val="center"/>
          </w:tcPr>
          <w:p w14:paraId="0C82E83F">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6DCAF81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1.斗宽B=600mm ；提升高度H=38000mm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Q≥225t/h功率90+18.5kW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63859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631A2F6A">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6886C0C7">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4C78543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出碱螺旋输送机（联碱）</w:t>
            </w:r>
          </w:p>
        </w:tc>
        <w:tc>
          <w:tcPr>
            <w:tcW w:w="4590" w:type="dxa"/>
            <w:vMerge w:val="continue"/>
            <w:tcBorders>
              <w:tl2br w:val="nil"/>
              <w:tr2bl w:val="nil"/>
            </w:tcBorders>
            <w:noWrap w:val="0"/>
            <w:vAlign w:val="center"/>
          </w:tcPr>
          <w:p w14:paraId="0D5EF0B4">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BE7E89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1.Q≥220t/h；输送长度L=5000mm功率：37kW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06C57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37B2963B">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376DA9CC">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0318A53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碱尘螺旋输送机（联碱）</w:t>
            </w:r>
          </w:p>
        </w:tc>
        <w:tc>
          <w:tcPr>
            <w:tcW w:w="4590" w:type="dxa"/>
            <w:vMerge w:val="continue"/>
            <w:tcBorders>
              <w:tl2br w:val="nil"/>
              <w:tr2bl w:val="nil"/>
            </w:tcBorders>
            <w:noWrap w:val="0"/>
            <w:vAlign w:val="center"/>
          </w:tcPr>
          <w:p w14:paraId="2E2894C4">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3053D9D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1.Q≥220t/h ；输送长度L=5000mm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功率：37kW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5CE0C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34F1E917">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74592AF0">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4DF4CD1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串碱螺旋输送机（联碱）</w:t>
            </w:r>
          </w:p>
        </w:tc>
        <w:tc>
          <w:tcPr>
            <w:tcW w:w="4590" w:type="dxa"/>
            <w:vMerge w:val="continue"/>
            <w:tcBorders>
              <w:tl2br w:val="nil"/>
              <w:tr2bl w:val="nil"/>
            </w:tcBorders>
            <w:noWrap w:val="0"/>
            <w:vAlign w:val="center"/>
          </w:tcPr>
          <w:p w14:paraId="14CBA146">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A9F2F7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1.Q≥20t/h ；输送长度L=12000mm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功率：5.5kW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5FC97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43A89F63">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05165756">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04C0CAD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一水碱螺旋输送机（联碱）</w:t>
            </w:r>
          </w:p>
        </w:tc>
        <w:tc>
          <w:tcPr>
            <w:tcW w:w="4590" w:type="dxa"/>
            <w:vMerge w:val="continue"/>
            <w:tcBorders>
              <w:tl2br w:val="nil"/>
              <w:tr2bl w:val="nil"/>
            </w:tcBorders>
            <w:noWrap w:val="0"/>
            <w:vAlign w:val="center"/>
          </w:tcPr>
          <w:p w14:paraId="47032FDB">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134D6C2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1.功率：7.5kW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3CAC4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79D25ADD">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132269CA">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29E8B21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水合机进料螺旋输送机（联碱）</w:t>
            </w:r>
          </w:p>
        </w:tc>
        <w:tc>
          <w:tcPr>
            <w:tcW w:w="4590" w:type="dxa"/>
            <w:vMerge w:val="continue"/>
            <w:tcBorders>
              <w:tl2br w:val="nil"/>
              <w:tr2bl w:val="nil"/>
            </w:tcBorders>
            <w:noWrap w:val="0"/>
            <w:vAlign w:val="center"/>
          </w:tcPr>
          <w:p w14:paraId="2368D4FC">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03ADAD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1.功率：30kW（变频）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2145E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4B5FCE21">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0619B4D2">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40878D3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湿氨星型下料器（联碱）</w:t>
            </w:r>
          </w:p>
        </w:tc>
        <w:tc>
          <w:tcPr>
            <w:tcW w:w="4590" w:type="dxa"/>
            <w:vMerge w:val="continue"/>
            <w:tcBorders>
              <w:tl2br w:val="nil"/>
              <w:tr2bl w:val="nil"/>
            </w:tcBorders>
            <w:noWrap w:val="0"/>
            <w:vAlign w:val="center"/>
          </w:tcPr>
          <w:p w14:paraId="63B3A025">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F0AFCA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1.≥100t/h; 15kW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1B079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2DE36D95">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4874ED2C">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3799431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旋风分离器下料器（联碱）</w:t>
            </w:r>
          </w:p>
        </w:tc>
        <w:tc>
          <w:tcPr>
            <w:tcW w:w="4590" w:type="dxa"/>
            <w:vMerge w:val="continue"/>
            <w:tcBorders>
              <w:tl2br w:val="nil"/>
              <w:tr2bl w:val="nil"/>
            </w:tcBorders>
            <w:noWrap w:val="0"/>
            <w:vAlign w:val="center"/>
          </w:tcPr>
          <w:p w14:paraId="6A07AFF8">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2078079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1.≥18t/h; 1.5kW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64C8B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0779E344">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2EC73150">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0211A99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星型下料器（联碱）</w:t>
            </w:r>
          </w:p>
        </w:tc>
        <w:tc>
          <w:tcPr>
            <w:tcW w:w="4590" w:type="dxa"/>
            <w:vMerge w:val="continue"/>
            <w:tcBorders>
              <w:tl2br w:val="nil"/>
              <w:tr2bl w:val="nil"/>
            </w:tcBorders>
            <w:noWrap w:val="0"/>
            <w:vAlign w:val="center"/>
          </w:tcPr>
          <w:p w14:paraId="26412F2D">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02FD7EC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1.Φ260; 1.5kW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31630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0E8DF56B">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1AF498AD">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7DC2C2E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重灰碱筛下料器（联碱）</w:t>
            </w:r>
          </w:p>
        </w:tc>
        <w:tc>
          <w:tcPr>
            <w:tcW w:w="4590" w:type="dxa"/>
            <w:vMerge w:val="continue"/>
            <w:tcBorders>
              <w:tl2br w:val="nil"/>
              <w:tr2bl w:val="nil"/>
            </w:tcBorders>
            <w:noWrap w:val="0"/>
            <w:vAlign w:val="center"/>
          </w:tcPr>
          <w:p w14:paraId="1A07772C">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1407C0E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1.Q≥40t/h；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功率5.5kW变频电机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3F9C1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3572BD45">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139EC0B9">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22BB7A9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轻灰碱筛下料器（联碱）</w:t>
            </w:r>
          </w:p>
        </w:tc>
        <w:tc>
          <w:tcPr>
            <w:tcW w:w="4590" w:type="dxa"/>
            <w:vMerge w:val="continue"/>
            <w:tcBorders>
              <w:tl2br w:val="nil"/>
              <w:tr2bl w:val="nil"/>
            </w:tcBorders>
            <w:noWrap w:val="0"/>
            <w:vAlign w:val="center"/>
          </w:tcPr>
          <w:p w14:paraId="2D0C45F9">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76C8D94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1.Q≥50t/h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功率5.5kW变频电机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007A2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5B55D0B4">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4665859B">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40CEBE3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重灰星型下料器（联碱）</w:t>
            </w:r>
          </w:p>
        </w:tc>
        <w:tc>
          <w:tcPr>
            <w:tcW w:w="4590" w:type="dxa"/>
            <w:vMerge w:val="continue"/>
            <w:tcBorders>
              <w:tl2br w:val="nil"/>
              <w:tr2bl w:val="nil"/>
            </w:tcBorders>
            <w:noWrap w:val="0"/>
            <w:vAlign w:val="center"/>
          </w:tcPr>
          <w:p w14:paraId="44691980">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1C51AB4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1.Q≥1500t/d；</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功率15kW变频电机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随设备配置的电机功率由厂家根据数据单要求确定，参考佳木斯电机、湖南长沙电机、南阳防爆电机、西玛、皖南等同档次或高于所列品牌技术标准的材料选择。不具有指定或唯一的意思表示。要求非变频电机使用一级能效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3、减速机配置选用参考SEW、中德、弗兰德等同档次或高于所列品牌技术标准的材料选择。不具有指定或唯一的意思表示。</w:t>
            </w:r>
          </w:p>
        </w:tc>
      </w:tr>
      <w:tr w14:paraId="10E14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tcBorders>
              <w:tl2br w:val="nil"/>
              <w:tr2bl w:val="nil"/>
            </w:tcBorders>
            <w:noWrap w:val="0"/>
            <w:vAlign w:val="center"/>
          </w:tcPr>
          <w:p w14:paraId="3DC2B5A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包57</w:t>
            </w:r>
          </w:p>
        </w:tc>
        <w:tc>
          <w:tcPr>
            <w:tcW w:w="1011" w:type="dxa"/>
            <w:tcBorders>
              <w:tl2br w:val="nil"/>
              <w:tr2bl w:val="nil"/>
            </w:tcBorders>
            <w:noWrap w:val="0"/>
            <w:vAlign w:val="center"/>
          </w:tcPr>
          <w:p w14:paraId="76794A8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循环水站1</w:t>
            </w:r>
          </w:p>
        </w:tc>
        <w:tc>
          <w:tcPr>
            <w:tcW w:w="2039" w:type="dxa"/>
            <w:tcBorders>
              <w:tl2br w:val="nil"/>
              <w:tr2bl w:val="nil"/>
            </w:tcBorders>
            <w:noWrap w:val="0"/>
            <w:vAlign w:val="center"/>
          </w:tcPr>
          <w:p w14:paraId="266B516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消雾塔</w:t>
            </w:r>
          </w:p>
        </w:tc>
        <w:tc>
          <w:tcPr>
            <w:tcW w:w="4590" w:type="dxa"/>
            <w:tcBorders>
              <w:tl2br w:val="nil"/>
              <w:tr2bl w:val="nil"/>
            </w:tcBorders>
            <w:noWrap w:val="0"/>
            <w:vAlign w:val="center"/>
          </w:tcPr>
          <w:p w14:paraId="64F6A20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机电工程专业承包贰级资质及以上；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具有一个煤化工行业消雾型冷却塔的业绩（单塔流量4800m³/h以上）。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7664380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1、消雾塔：钢混结构菱形模块节水消雾逆流式冷却塔（填料塔），混凝土墙板围护，布置方式：一列布置；进风方式：双面进风；水池设置在底部（地上水池）；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塔内所有关键部件均为玻璃钢、PVC、ABS 等耐腐蚀材质，填料、收水器、配水管等塔内材料应为阻燃型；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塔体各项性能指标均达到或超过国家标准GB/T7190―2008《玻璃纤维增强塑料冷却塔》等相关规定；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冷却塔应有防溅水措施，避免冷却水塔内的水流向外部；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冷却塔安装要求：内部安装由设备供应商进行安装；                           2、规整半软性弹性填料、材质工程聚丙烯、使用年限10年以上；采用透明无色填料，禁止使用再生料，供货时出具填料合格证明；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3、收水器：螺旋形收水器、材质工程聚丙烯、使用年限10年以上；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4、不接受联合体投标；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5.消雾节水型冷却塔、Q=5000m3/h、t1=41℃ t2=33℃、△t=8℃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6.冷却塔风机参考上海尔华杰、江苏西城、惠阳航空等同档次或高于所列品牌技术标准的。以上所涉及品牌，不具有指定或唯一的意思表示。</w:t>
            </w:r>
          </w:p>
        </w:tc>
      </w:tr>
      <w:tr w14:paraId="2B163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tcBorders>
              <w:tl2br w:val="nil"/>
              <w:tr2bl w:val="nil"/>
            </w:tcBorders>
            <w:noWrap w:val="0"/>
            <w:vAlign w:val="center"/>
          </w:tcPr>
          <w:p w14:paraId="7772F70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包58</w:t>
            </w:r>
          </w:p>
        </w:tc>
        <w:tc>
          <w:tcPr>
            <w:tcW w:w="1011" w:type="dxa"/>
            <w:vMerge w:val="restart"/>
            <w:tcBorders>
              <w:tl2br w:val="nil"/>
              <w:tr2bl w:val="nil"/>
            </w:tcBorders>
            <w:noWrap w:val="0"/>
            <w:vAlign w:val="center"/>
          </w:tcPr>
          <w:p w14:paraId="1037288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循环水泵</w:t>
            </w:r>
          </w:p>
        </w:tc>
        <w:tc>
          <w:tcPr>
            <w:tcW w:w="2039" w:type="dxa"/>
            <w:tcBorders>
              <w:tl2br w:val="nil"/>
              <w:tr2bl w:val="nil"/>
            </w:tcBorders>
            <w:noWrap w:val="0"/>
            <w:vAlign w:val="center"/>
          </w:tcPr>
          <w:p w14:paraId="330B36F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循环水泵（公用工程）</w:t>
            </w:r>
          </w:p>
        </w:tc>
        <w:tc>
          <w:tcPr>
            <w:tcW w:w="4590" w:type="dxa"/>
            <w:vMerge w:val="restart"/>
            <w:tcBorders>
              <w:tl2br w:val="nil"/>
              <w:tr2bl w:val="nil"/>
            </w:tcBorders>
            <w:noWrap w:val="0"/>
            <w:vAlign w:val="center"/>
          </w:tcPr>
          <w:p w14:paraId="1D75E12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具有一套制盐行业或煤化工行业循环水泵供货业绩。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制造商的投标和代理商的投标（如允许代理商投标的，一个制造商仅能委托一个代理商参加投标）。 </w:t>
            </w:r>
          </w:p>
        </w:tc>
        <w:tc>
          <w:tcPr>
            <w:tcW w:w="5950" w:type="dxa"/>
            <w:tcBorders>
              <w:tl2br w:val="nil"/>
              <w:tr2bl w:val="nil"/>
            </w:tcBorders>
            <w:noWrap w:val="0"/>
            <w:vAlign w:val="center"/>
          </w:tcPr>
          <w:p w14:paraId="2416059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1技术要求及技术特性：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①配套汽轮机：进口蒸汽：9.8MPA（G），出口蒸汽：0.5MPA（G）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②配套电机：P=2800kW/10kV, IP55/F</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泵壳材质:QT500-7  叶轮材质:22053   轴:40Cr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口环:22053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轴套:22053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轴封:集装式机械密封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膜片联轴器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轴承:SKF、NSK、FAG等同档次或高于所列品牌技术标准的。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轴承带测温/测振远程系统；                                               3、Q=18000m3/h, H=46m, NPSHr=7.5m, n=740r/min</w:t>
            </w:r>
          </w:p>
        </w:tc>
      </w:tr>
      <w:tr w14:paraId="072FE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tl2br w:val="nil"/>
              <w:tr2bl w:val="nil"/>
            </w:tcBorders>
            <w:noWrap w:val="0"/>
            <w:vAlign w:val="center"/>
          </w:tcPr>
          <w:p w14:paraId="0D74C14B">
            <w:pPr>
              <w:jc w:val="center"/>
              <w:rPr>
                <w:rFonts w:hint="eastAsia" w:ascii="宋体" w:hAnsi="宋体" w:eastAsia="宋体" w:cs="宋体"/>
                <w:color w:val="000000"/>
                <w:sz w:val="18"/>
                <w:szCs w:val="18"/>
                <w:highlight w:val="none"/>
                <w:vertAlign w:val="baseline"/>
                <w:lang w:val="en-US" w:eastAsia="zh-CN"/>
              </w:rPr>
            </w:pPr>
          </w:p>
        </w:tc>
        <w:tc>
          <w:tcPr>
            <w:tcW w:w="1011" w:type="dxa"/>
            <w:vMerge w:val="continue"/>
            <w:tcBorders>
              <w:tl2br w:val="nil"/>
              <w:tr2bl w:val="nil"/>
            </w:tcBorders>
            <w:noWrap w:val="0"/>
            <w:vAlign w:val="center"/>
          </w:tcPr>
          <w:p w14:paraId="12D19D53">
            <w:pPr>
              <w:jc w:val="center"/>
              <w:rPr>
                <w:rFonts w:hint="eastAsia" w:ascii="宋体" w:hAnsi="宋体" w:eastAsia="宋体" w:cs="宋体"/>
                <w:color w:val="000000"/>
                <w:sz w:val="18"/>
                <w:szCs w:val="18"/>
                <w:highlight w:val="none"/>
                <w:vertAlign w:val="baseline"/>
              </w:rPr>
            </w:pPr>
          </w:p>
        </w:tc>
        <w:tc>
          <w:tcPr>
            <w:tcW w:w="2039" w:type="dxa"/>
            <w:tcBorders>
              <w:tl2br w:val="nil"/>
              <w:tr2bl w:val="nil"/>
            </w:tcBorders>
            <w:noWrap w:val="0"/>
            <w:vAlign w:val="center"/>
          </w:tcPr>
          <w:p w14:paraId="2B3009C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循环水泵（制盐）</w:t>
            </w:r>
          </w:p>
        </w:tc>
        <w:tc>
          <w:tcPr>
            <w:tcW w:w="4590" w:type="dxa"/>
            <w:vMerge w:val="continue"/>
            <w:tcBorders>
              <w:tl2br w:val="nil"/>
              <w:tr2bl w:val="nil"/>
            </w:tcBorders>
            <w:noWrap w:val="0"/>
            <w:vAlign w:val="center"/>
          </w:tcPr>
          <w:p w14:paraId="18D5D8C0">
            <w:pPr>
              <w:jc w:val="left"/>
              <w:rPr>
                <w:rFonts w:hint="eastAsia" w:ascii="宋体" w:hAnsi="宋体" w:eastAsia="宋体" w:cs="宋体"/>
                <w:color w:val="000000"/>
                <w:sz w:val="18"/>
                <w:szCs w:val="18"/>
                <w:highlight w:val="none"/>
                <w:vertAlign w:val="baseline"/>
              </w:rPr>
            </w:pPr>
          </w:p>
        </w:tc>
        <w:tc>
          <w:tcPr>
            <w:tcW w:w="5950" w:type="dxa"/>
            <w:tcBorders>
              <w:tl2br w:val="nil"/>
              <w:tr2bl w:val="nil"/>
            </w:tcBorders>
            <w:noWrap w:val="0"/>
            <w:vAlign w:val="center"/>
          </w:tcPr>
          <w:p w14:paraId="742ED4B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1.机封：集装式双端面机械密封参考中密控股、丹东克隆、大连苏尔寿等同档次或高于所列品牌技术标准的。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2.材质s31603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3.10kv电机选用2级能效产品，其他电机选用1级能效产品。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4.满足全年8000小时运行。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5.轴承参考SKG、FAG、NSK等同档次或高于所列品牌技术标准的材料选择。不具有指定或唯一的意思表示。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6.联轴器参考无锡创明、沈阳申克、丹东克隆等同档次或高于所列品牌技术标准的材料选择。不具有指定或唯一的意思表示。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8.减速机参考FLENDER、SEW、KUMERA等同档次或高于所列品牌技术标准的材料选择。不具有指定或唯一的意思表示。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9.测振、测温仪表采用国内外一流品牌。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10.Q=16000m3/h  H=42m；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以上所涉及品牌，不具有指定或唯一的意思表示。</w:t>
            </w:r>
          </w:p>
        </w:tc>
      </w:tr>
      <w:tr w14:paraId="2E3B4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4" w:hRule="atLeast"/>
          <w:jc w:val="center"/>
        </w:trPr>
        <w:tc>
          <w:tcPr>
            <w:tcW w:w="625" w:type="dxa"/>
            <w:tcBorders>
              <w:tl2br w:val="nil"/>
              <w:tr2bl w:val="nil"/>
            </w:tcBorders>
            <w:noWrap w:val="0"/>
            <w:vAlign w:val="center"/>
          </w:tcPr>
          <w:p w14:paraId="400653B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包59</w:t>
            </w:r>
          </w:p>
        </w:tc>
        <w:tc>
          <w:tcPr>
            <w:tcW w:w="1011" w:type="dxa"/>
            <w:tcBorders>
              <w:tl2br w:val="nil"/>
              <w:tr2bl w:val="nil"/>
            </w:tcBorders>
            <w:noWrap w:val="0"/>
            <w:vAlign w:val="center"/>
          </w:tcPr>
          <w:p w14:paraId="46591A0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水泵类</w:t>
            </w:r>
          </w:p>
        </w:tc>
        <w:tc>
          <w:tcPr>
            <w:tcW w:w="2039" w:type="dxa"/>
            <w:tcBorders>
              <w:tl2br w:val="nil"/>
              <w:tr2bl w:val="nil"/>
            </w:tcBorders>
            <w:noWrap w:val="0"/>
            <w:vAlign w:val="center"/>
          </w:tcPr>
          <w:p w14:paraId="1B5C999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循环水调峰泵</w:t>
            </w:r>
          </w:p>
        </w:tc>
        <w:tc>
          <w:tcPr>
            <w:tcW w:w="4590" w:type="dxa"/>
            <w:tcBorders>
              <w:tl2br w:val="nil"/>
              <w:tr2bl w:val="nil"/>
            </w:tcBorders>
            <w:noWrap w:val="0"/>
            <w:vAlign w:val="center"/>
          </w:tcPr>
          <w:p w14:paraId="27AE788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具有一套煤化工行业循环水调峰泵供货业绩。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644CCF0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材质要求：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泵壳材质:QT500-7  叶轮材质:22053   轴:40Cr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口环:22053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轴套:22053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轴封:集装式机械密封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膜片联轴器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轴承:SKF、NSK、FAG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轴承带测温/测振远程系统；</w:t>
            </w:r>
          </w:p>
        </w:tc>
      </w:tr>
      <w:tr w14:paraId="331C7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625" w:type="dxa"/>
            <w:tcBorders>
              <w:tl2br w:val="nil"/>
              <w:tr2bl w:val="nil"/>
            </w:tcBorders>
            <w:noWrap w:val="0"/>
            <w:vAlign w:val="center"/>
          </w:tcPr>
          <w:p w14:paraId="5CC2962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包60</w:t>
            </w:r>
          </w:p>
        </w:tc>
        <w:tc>
          <w:tcPr>
            <w:tcW w:w="1011" w:type="dxa"/>
            <w:tcBorders>
              <w:tl2br w:val="nil"/>
              <w:tr2bl w:val="nil"/>
            </w:tcBorders>
            <w:noWrap w:val="0"/>
            <w:vAlign w:val="center"/>
          </w:tcPr>
          <w:p w14:paraId="168BC12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水力控制阀</w:t>
            </w:r>
          </w:p>
        </w:tc>
        <w:tc>
          <w:tcPr>
            <w:tcW w:w="2039" w:type="dxa"/>
            <w:tcBorders>
              <w:tl2br w:val="nil"/>
              <w:tr2bl w:val="nil"/>
            </w:tcBorders>
            <w:noWrap w:val="0"/>
            <w:vAlign w:val="center"/>
          </w:tcPr>
          <w:p w14:paraId="1E23204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多功能水力控制阀</w:t>
            </w:r>
          </w:p>
        </w:tc>
        <w:tc>
          <w:tcPr>
            <w:tcW w:w="4590" w:type="dxa"/>
            <w:tcBorders>
              <w:tl2br w:val="nil"/>
              <w:tr2bl w:val="nil"/>
            </w:tcBorders>
            <w:noWrap w:val="0"/>
            <w:vAlign w:val="center"/>
          </w:tcPr>
          <w:p w14:paraId="5E50FDA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具有一套煤化工行业多功能水力控制阀供货业绩。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5950" w:type="dxa"/>
            <w:tcBorders>
              <w:tl2br w:val="nil"/>
              <w:tr2bl w:val="nil"/>
            </w:tcBorders>
            <w:noWrap w:val="0"/>
            <w:vAlign w:val="center"/>
          </w:tcPr>
          <w:p w14:paraId="0512809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1、材质要求：球墨铸铁及以上；                                                 2、使用寿命不低于30年，易损件的使用寿命不低于5年。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3.DN50-DN2000</w:t>
            </w:r>
          </w:p>
        </w:tc>
      </w:tr>
    </w:tbl>
    <w:p w14:paraId="4FAD8479">
      <w:pPr>
        <w:tabs>
          <w:tab w:val="left" w:pos="5697"/>
        </w:tabs>
        <w:bidi w:val="0"/>
        <w:jc w:val="left"/>
        <w:rPr>
          <w:rFonts w:hint="eastAsia"/>
          <w:lang w:val="en-US" w:eastAsia="zh-CN"/>
        </w:rPr>
      </w:pPr>
      <w:bookmarkStart w:id="7" w:name="_GoBack"/>
      <w:bookmarkEnd w:id="7"/>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7166">
    <w:pPr>
      <w:pStyle w:val="5"/>
      <w:ind w:left="210" w:leftChars="100" w:right="210" w:rightChars="100"/>
      <w:jc w:val="right"/>
      <w:rPr>
        <w:rFonts w:hint="eastAsia" w:ascii="宋体" w:hAnsi="宋体" w:eastAsia="宋体" w:cs="Times New Roman"/>
        <w:sz w:val="28"/>
        <w:szCs w:val="28"/>
        <w:lang w:eastAsia="zh-CN"/>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B66CE"/>
    <w:rsid w:val="1C7E3A84"/>
    <w:rsid w:val="586B66CE"/>
    <w:rsid w:val="79DE7ACA"/>
    <w:rsid w:val="7E71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widowControl w:val="0"/>
      <w:spacing w:before="240" w:after="60"/>
      <w:jc w:val="both"/>
      <w:outlineLvl w:val="0"/>
    </w:pPr>
    <w:rPr>
      <w:rFonts w:ascii="Cambria" w:hAnsi="Cambria" w:eastAsia="宋体" w:cs="Times New Roman"/>
      <w:b/>
      <w:bCs/>
      <w:kern w:val="32"/>
      <w:sz w:val="32"/>
      <w:szCs w:val="32"/>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widowControl/>
      <w:spacing w:line="360" w:lineRule="auto"/>
      <w:jc w:val="both"/>
      <w:outlineLvl w:val="2"/>
    </w:pPr>
    <w:rPr>
      <w:rFonts w:ascii="Times New Roman" w:hAnsi="Times New Roman" w:eastAsia="宋体" w:cs="Times New Roman"/>
      <w:b/>
      <w:bCs/>
      <w:kern w:val="0"/>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qFormat/>
    <w:uiPriority w:val="0"/>
    <w:rPr>
      <w:rFonts w:hint="default" w:ascii="仿宋_GB2312" w:eastAsia="仿宋_GB2312" w:cs="仿宋_GB2312"/>
      <w:color w:val="000000"/>
      <w:sz w:val="24"/>
      <w:szCs w:val="24"/>
      <w:u w:val="none"/>
    </w:rPr>
  </w:style>
  <w:style w:type="character" w:customStyle="1" w:styleId="1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5558</Words>
  <Characters>6172</Characters>
  <Lines>0</Lines>
  <Paragraphs>0</Paragraphs>
  <TotalTime>2</TotalTime>
  <ScaleCrop>false</ScaleCrop>
  <LinksUpToDate>false</LinksUpToDate>
  <CharactersWithSpaces>6180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2025-05-29T09:13:00Z</dcterms:created>
  <dc:creator>ZSJ</dc:creator>
  <cp:lastModifiedBy>ZSJ</cp:lastModifiedBy>
  <dcterms:modified xsi:type="dcterms:W3CDTF">2025-05-29T11:34:23Z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857E5233A86441879433DDE49731365C_13</vt:lpwstr>
  </property>
  <property fmtid="{D5CDD505-2E9C-101B-9397-08002B2CF9AE}" pid="4" name="KSOTemplateDocerSaveRecord">
    <vt:lpwstr>eyJoZGlkIjoiY2ViMTBhM2IzODJhNTg3NTRjYmE3NjRhMWQwZDJkNzMiLCJ1c2VySWQiOiIzNjA2MTE1OTUifQ==</vt:lpwstr>
  </property>
</Properties>
</file>