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p>
    <w:p>
      <w:pPr>
        <w:widowControl/>
        <w:shd w:val="clear" w:color="auto" w:fill="FFFFFF"/>
        <w:adjustRightInd w:val="0"/>
        <w:snapToGrid w:val="0"/>
        <w:spacing w:line="360" w:lineRule="auto"/>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株洲航电分公司三门撇洪渠水闸安全鉴定项目</w:t>
      </w:r>
    </w:p>
    <w:p>
      <w:pPr>
        <w:widowControl/>
        <w:shd w:val="clear" w:color="auto" w:fill="FFFFFF"/>
        <w:adjustRightInd w:val="0"/>
        <w:snapToGrid w:val="0"/>
        <w:spacing w:line="360" w:lineRule="auto"/>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询价公告</w:t>
      </w:r>
    </w:p>
    <w:p>
      <w:pPr>
        <w:widowControl/>
        <w:shd w:val="clear" w:color="auto" w:fill="FFFFFF"/>
        <w:adjustRightInd w:val="0"/>
        <w:snapToGrid w:val="0"/>
        <w:spacing w:line="360" w:lineRule="auto"/>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（采购代理编号：</w:t>
      </w:r>
      <w:r>
        <w:rPr>
          <w:rFonts w:ascii="宋体" w:hAnsi="宋体" w:eastAsia="宋体"/>
          <w:b/>
          <w:bCs/>
          <w:color w:val="auto"/>
          <w:kern w:val="0"/>
          <w:sz w:val="32"/>
          <w:szCs w:val="32"/>
          <w:highlight w:val="none"/>
        </w:rPr>
        <w:t>HNDTC2021-FW(</w:t>
      </w:r>
      <w:r>
        <w:rPr>
          <w:rFonts w:hint="eastAsia" w:ascii="宋体" w:hAnsi="宋体" w:eastAsia="宋体"/>
          <w:b/>
          <w:bCs/>
          <w:color w:val="auto"/>
          <w:kern w:val="0"/>
          <w:sz w:val="32"/>
          <w:szCs w:val="32"/>
          <w:highlight w:val="none"/>
        </w:rPr>
        <w:t>JD</w:t>
      </w:r>
      <w:r>
        <w:rPr>
          <w:rFonts w:ascii="宋体" w:hAnsi="宋体" w:eastAsia="宋体"/>
          <w:b/>
          <w:bCs/>
          <w:color w:val="auto"/>
          <w:kern w:val="0"/>
          <w:sz w:val="32"/>
          <w:szCs w:val="32"/>
          <w:highlight w:val="none"/>
        </w:rPr>
        <w:t>)-</w:t>
      </w:r>
      <w:r>
        <w:rPr>
          <w:rFonts w:hint="eastAsia" w:ascii="宋体" w:hAnsi="宋体" w:eastAsia="宋体"/>
          <w:b/>
          <w:bCs/>
          <w:color w:val="auto"/>
          <w:kern w:val="0"/>
          <w:sz w:val="32"/>
          <w:szCs w:val="32"/>
          <w:highlight w:val="none"/>
          <w:lang w:val="en-US" w:eastAsia="zh-CN"/>
        </w:rPr>
        <w:t>146</w:t>
      </w:r>
      <w:r>
        <w:rPr>
          <w:rFonts w:hint="eastAsia" w:ascii="宋体" w:hAnsi="宋体" w:eastAsia="宋体"/>
          <w:b/>
          <w:bCs/>
          <w:color w:val="auto"/>
          <w:kern w:val="0"/>
          <w:sz w:val="32"/>
          <w:szCs w:val="32"/>
          <w:highlight w:val="none"/>
        </w:rPr>
        <w:t>）</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湖南发展集团股份有限公司株洲航电分公司的</w:t>
      </w:r>
      <w:r>
        <w:rPr>
          <w:rFonts w:hint="eastAsia" w:ascii="宋体" w:hAnsi="宋体" w:eastAsia="宋体"/>
          <w:color w:val="auto"/>
          <w:kern w:val="0"/>
          <w:sz w:val="24"/>
          <w:szCs w:val="24"/>
          <w:highlight w:val="none"/>
          <w:u w:val="single"/>
        </w:rPr>
        <w:t>株洲航电分公司三门撇洪渠水闸安全鉴定项目</w:t>
      </w:r>
      <w:r>
        <w:rPr>
          <w:rFonts w:hint="eastAsia" w:ascii="宋体" w:hAnsi="宋体" w:eastAsia="宋体"/>
          <w:color w:val="auto"/>
          <w:kern w:val="0"/>
          <w:sz w:val="24"/>
          <w:szCs w:val="24"/>
          <w:highlight w:val="none"/>
        </w:rPr>
        <w:t>进行询价采购，欢迎有相应资质和能力的供应商参加本次采购活动。</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有关事项如下：</w:t>
      </w:r>
    </w:p>
    <w:p>
      <w:pPr>
        <w:widowControl/>
        <w:shd w:val="clear" w:color="auto" w:fill="FFFFFF"/>
        <w:adjustRightInd w:val="0"/>
        <w:snapToGrid w:val="0"/>
        <w:spacing w:line="360" w:lineRule="auto"/>
        <w:jc w:val="left"/>
        <w:rPr>
          <w:rFonts w:ascii="宋体" w:hAnsi="宋体" w:eastAsia="宋体"/>
          <w:color w:val="auto"/>
          <w:kern w:val="0"/>
          <w:sz w:val="24"/>
          <w:szCs w:val="24"/>
          <w:highlight w:val="none"/>
        </w:rPr>
      </w:pPr>
      <w:r>
        <w:rPr>
          <w:rFonts w:hint="eastAsia" w:ascii="宋体" w:hAnsi="宋体" w:eastAsia="宋体"/>
          <w:b/>
          <w:bCs/>
          <w:color w:val="auto"/>
          <w:kern w:val="0"/>
          <w:sz w:val="24"/>
          <w:szCs w:val="24"/>
          <w:highlight w:val="none"/>
        </w:rPr>
        <w:t>1、项目概况与采购内容</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hint="eastAsia" w:ascii="宋体" w:hAnsi="宋体" w:eastAsia="宋体"/>
          <w:b/>
          <w:bCs/>
          <w:color w:val="auto"/>
          <w:kern w:val="0"/>
          <w:sz w:val="24"/>
          <w:szCs w:val="24"/>
          <w:highlight w:val="none"/>
        </w:rPr>
        <w:t>1.1项目名称：</w:t>
      </w:r>
      <w:r>
        <w:rPr>
          <w:rFonts w:hint="eastAsia" w:ascii="宋体" w:hAnsi="宋体" w:eastAsia="宋体"/>
          <w:color w:val="auto"/>
          <w:kern w:val="0"/>
          <w:sz w:val="24"/>
          <w:szCs w:val="24"/>
          <w:highlight w:val="none"/>
          <w:u w:val="single"/>
        </w:rPr>
        <w:t>株洲航电分公司三门撇洪渠水闸安全鉴定项目</w:t>
      </w:r>
    </w:p>
    <w:p>
      <w:pPr>
        <w:widowControl/>
        <w:shd w:val="clear" w:color="auto" w:fill="FFFFFF"/>
        <w:adjustRightInd w:val="0"/>
        <w:snapToGrid w:val="0"/>
        <w:spacing w:line="360" w:lineRule="auto"/>
        <w:ind w:firstLine="482" w:firstLineChars="200"/>
        <w:jc w:val="left"/>
        <w:rPr>
          <w:rFonts w:hint="default"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rPr>
        <w:t>1.2项目编号：</w:t>
      </w:r>
      <w:r>
        <w:rPr>
          <w:rFonts w:hint="eastAsia" w:ascii="宋体" w:hAnsi="宋体" w:eastAsia="宋体"/>
          <w:color w:val="auto"/>
          <w:kern w:val="0"/>
          <w:sz w:val="24"/>
          <w:szCs w:val="24"/>
          <w:highlight w:val="none"/>
        </w:rPr>
        <w:t>HNDTC2021-FW(JD)-</w:t>
      </w:r>
      <w:r>
        <w:rPr>
          <w:rFonts w:hint="eastAsia" w:ascii="宋体" w:hAnsi="宋体" w:eastAsia="宋体"/>
          <w:color w:val="auto"/>
          <w:kern w:val="0"/>
          <w:sz w:val="24"/>
          <w:szCs w:val="24"/>
          <w:highlight w:val="none"/>
          <w:lang w:val="en-US" w:eastAsia="zh-CN"/>
        </w:rPr>
        <w:t>146</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hint="eastAsia" w:ascii="宋体" w:hAnsi="宋体" w:eastAsia="宋体"/>
          <w:b/>
          <w:bCs/>
          <w:color w:val="auto"/>
          <w:kern w:val="0"/>
          <w:sz w:val="24"/>
          <w:szCs w:val="24"/>
          <w:highlight w:val="none"/>
        </w:rPr>
        <w:t>1</w:t>
      </w:r>
      <w:r>
        <w:rPr>
          <w:rFonts w:ascii="宋体" w:hAnsi="宋体" w:eastAsia="宋体"/>
          <w:b/>
          <w:bCs/>
          <w:color w:val="auto"/>
          <w:kern w:val="0"/>
          <w:sz w:val="24"/>
          <w:szCs w:val="24"/>
          <w:highlight w:val="none"/>
        </w:rPr>
        <w:t>.3</w:t>
      </w:r>
      <w:r>
        <w:rPr>
          <w:rFonts w:hint="eastAsia" w:ascii="宋体" w:hAnsi="宋体" w:eastAsia="宋体"/>
          <w:b/>
          <w:bCs/>
          <w:color w:val="auto"/>
          <w:kern w:val="0"/>
          <w:sz w:val="24"/>
          <w:szCs w:val="24"/>
          <w:highlight w:val="none"/>
        </w:rPr>
        <w:t>采购预算：</w:t>
      </w:r>
      <w:r>
        <w:rPr>
          <w:rFonts w:hint="eastAsia" w:ascii="宋体" w:hAnsi="宋体" w:eastAsia="宋体"/>
          <w:color w:val="auto"/>
          <w:kern w:val="0"/>
          <w:sz w:val="24"/>
          <w:szCs w:val="24"/>
          <w:highlight w:val="none"/>
        </w:rPr>
        <w:t>人民币15</w:t>
      </w:r>
      <w:r>
        <w:rPr>
          <w:rFonts w:ascii="宋体" w:hAnsi="宋体" w:eastAsia="宋体"/>
          <w:color w:val="auto"/>
          <w:kern w:val="0"/>
          <w:sz w:val="24"/>
          <w:szCs w:val="24"/>
          <w:highlight w:val="none"/>
        </w:rPr>
        <w:t>0</w:t>
      </w:r>
      <w:r>
        <w:rPr>
          <w:rFonts w:hint="eastAsia" w:ascii="宋体" w:hAnsi="宋体" w:eastAsia="宋体"/>
          <w:color w:val="auto"/>
          <w:kern w:val="0"/>
          <w:sz w:val="24"/>
          <w:szCs w:val="24"/>
          <w:highlight w:val="none"/>
        </w:rPr>
        <w:t>000.00元（含税）（供应商成交金额超出采购预算的属于无效报价）。</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w:t>
      </w:r>
      <w:r>
        <w:rPr>
          <w:rFonts w:ascii="宋体" w:hAnsi="宋体" w:eastAsia="宋体"/>
          <w:b/>
          <w:bCs/>
          <w:color w:val="auto"/>
          <w:kern w:val="0"/>
          <w:sz w:val="24"/>
          <w:szCs w:val="24"/>
          <w:highlight w:val="none"/>
        </w:rPr>
        <w:t xml:space="preserve">.4 </w:t>
      </w:r>
      <w:r>
        <w:rPr>
          <w:rFonts w:hint="eastAsia" w:ascii="宋体" w:hAnsi="宋体" w:eastAsia="宋体"/>
          <w:b/>
          <w:bCs/>
          <w:color w:val="auto"/>
          <w:kern w:val="0"/>
          <w:sz w:val="24"/>
          <w:szCs w:val="24"/>
          <w:highlight w:val="none"/>
        </w:rPr>
        <w:t>主要工作内容：</w:t>
      </w:r>
      <w:r>
        <w:rPr>
          <w:rFonts w:hint="eastAsia" w:ascii="宋体" w:hAnsi="宋体" w:eastAsia="宋体"/>
          <w:color w:val="auto"/>
          <w:kern w:val="0"/>
          <w:sz w:val="24"/>
          <w:szCs w:val="24"/>
          <w:highlight w:val="none"/>
        </w:rPr>
        <w:t>包括现场安全检查、</w:t>
      </w:r>
      <w:r>
        <w:rPr>
          <w:rFonts w:hint="eastAsia" w:ascii="宋体" w:hAnsi="宋体" w:eastAsia="宋体"/>
          <w:color w:val="auto"/>
          <w:sz w:val="24"/>
          <w:szCs w:val="24"/>
          <w:highlight w:val="none"/>
        </w:rPr>
        <w:t>三门撇洪渠水闸安全评价、安全鉴定审定。</w:t>
      </w:r>
      <w:r>
        <w:rPr>
          <w:rFonts w:hint="eastAsia" w:ascii="宋体" w:hAnsi="宋体" w:eastAsia="宋体"/>
          <w:b/>
          <w:bCs/>
          <w:color w:val="auto"/>
          <w:kern w:val="0"/>
          <w:sz w:val="24"/>
          <w:szCs w:val="24"/>
          <w:highlight w:val="none"/>
        </w:rPr>
        <w:t>详见技术标准和要求。</w:t>
      </w:r>
      <w:bookmarkStart w:id="1" w:name="_GoBack"/>
      <w:bookmarkEnd w:id="1"/>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 xml:space="preserve">1.5 </w:t>
      </w:r>
      <w:r>
        <w:rPr>
          <w:rFonts w:hint="eastAsia" w:ascii="宋体" w:hAnsi="宋体" w:eastAsia="宋体"/>
          <w:b/>
          <w:bCs/>
          <w:color w:val="auto"/>
          <w:kern w:val="0"/>
          <w:sz w:val="24"/>
          <w:szCs w:val="24"/>
          <w:highlight w:val="none"/>
        </w:rPr>
        <w:t>服务期：</w:t>
      </w:r>
      <w:r>
        <w:rPr>
          <w:rFonts w:hint="eastAsia" w:ascii="宋体" w:hAnsi="宋体" w:eastAsia="宋体"/>
          <w:color w:val="auto"/>
          <w:kern w:val="0"/>
          <w:sz w:val="24"/>
          <w:szCs w:val="24"/>
          <w:highlight w:val="none"/>
        </w:rPr>
        <w:t>按合同约定时间。</w:t>
      </w:r>
    </w:p>
    <w:p>
      <w:pPr>
        <w:widowControl/>
        <w:shd w:val="clear" w:color="auto" w:fill="FFFFFF"/>
        <w:adjustRightInd w:val="0"/>
        <w:snapToGrid w:val="0"/>
        <w:spacing w:line="360" w:lineRule="auto"/>
        <w:jc w:val="left"/>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2、技术标准和要求</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2.1 三门撇洪渠水闸基本情况</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株洲航电枢纽三门撇洪渠工程于2002年开工，2006年完工，为中小型水闸。根据上级相关管理单位要求，有必要进行一次全面的安全鉴定，以了解三门撇洪渠水闸目前的安全状态，确保水闸的安全运行。</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hint="eastAsia" w:ascii="宋体" w:hAnsi="宋体" w:eastAsia="宋体"/>
          <w:b/>
          <w:bCs/>
          <w:color w:val="auto"/>
          <w:kern w:val="0"/>
          <w:sz w:val="24"/>
          <w:szCs w:val="24"/>
          <w:highlight w:val="none"/>
        </w:rPr>
        <w:t>2.2 主要工作内容</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严格遵照《水闸安全鉴定管理办法》等相关要求开展安全检查、安全评价和安全鉴定工作，主要工作内容有：</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现场安全检查。由株洲航电分公司组织，鉴定承担单位负责收集相关资料、开展现场安全检查，包括查阅工程勘察设计、施工与运行资料，对三门撇洪渠水闸外观状况、结构安全情况、运行管理等进行全面检查和评估，并提出三门撇洪渠水闸安全评价工作的重点和建议，编制三门撇洪渠水闸现场安全检查报告。</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2、三门撇洪渠水闸安全评价。由鉴定承担单位按《水闸安全鉴定管理办法》（水建管【2008】214 号 ）标准对三门撇洪渠水闸安全状况进行评价，包括工程质量评价、运行管理评价、水闸结构安全评价等，编制安全评价报告等。</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3、安全鉴定审定。由三门撇洪渠水闸安全鉴定审定单位组织召开三门撇洪渠水闸安全鉴定会，审查三门撇洪渠水闸安全评价报告，审定并印发安全鉴定报告书。需要时由安全鉴定承担单位按鉴定审定部门的审查意见，补充相关资料，修改三门撇洪渠水闸安全评价报告。 </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w:t>
      </w:r>
      <w:r>
        <w:rPr>
          <w:rFonts w:ascii="宋体" w:hAnsi="宋体" w:eastAsia="宋体"/>
          <w:b/>
          <w:bCs/>
          <w:color w:val="auto"/>
          <w:kern w:val="0"/>
          <w:sz w:val="24"/>
          <w:szCs w:val="24"/>
          <w:highlight w:val="none"/>
        </w:rPr>
        <w:t>.</w:t>
      </w:r>
      <w:r>
        <w:rPr>
          <w:rFonts w:hint="eastAsia" w:ascii="宋体" w:hAnsi="宋体" w:eastAsia="宋体"/>
          <w:b/>
          <w:bCs/>
          <w:color w:val="auto"/>
          <w:kern w:val="0"/>
          <w:sz w:val="24"/>
          <w:szCs w:val="24"/>
          <w:highlight w:val="none"/>
        </w:rPr>
        <w:t>3</w:t>
      </w:r>
      <w:r>
        <w:rPr>
          <w:rFonts w:ascii="宋体" w:hAnsi="宋体" w:eastAsia="宋体"/>
          <w:b/>
          <w:bCs/>
          <w:color w:val="auto"/>
          <w:kern w:val="0"/>
          <w:sz w:val="24"/>
          <w:szCs w:val="24"/>
          <w:highlight w:val="none"/>
        </w:rPr>
        <w:t xml:space="preserve"> </w:t>
      </w:r>
      <w:r>
        <w:rPr>
          <w:rFonts w:hint="eastAsia" w:ascii="宋体" w:hAnsi="宋体" w:eastAsia="宋体"/>
          <w:b/>
          <w:bCs/>
          <w:color w:val="auto"/>
          <w:kern w:val="0"/>
          <w:sz w:val="24"/>
          <w:szCs w:val="24"/>
          <w:highlight w:val="none"/>
        </w:rPr>
        <w:t>现场查勘</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乙方必须对本项目水闸进行现场查勘，以便充分了解本项目工作地点、工作内容及具体工作要求等信息；现场查勘联系人：颜绍清，联系电话：0731-27638529，18907410192。</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2.4 付款方式</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签订合同后10个工作日内</w:t>
      </w:r>
      <w:r>
        <w:rPr>
          <w:rFonts w:hint="eastAsia" w:ascii="宋体" w:hAnsi="宋体" w:eastAsia="宋体"/>
          <w:color w:val="auto"/>
          <w:kern w:val="0"/>
          <w:sz w:val="24"/>
          <w:szCs w:val="24"/>
          <w:highlight w:val="none"/>
        </w:rPr>
        <w:t>支</w:t>
      </w:r>
      <w:r>
        <w:rPr>
          <w:rFonts w:ascii="宋体" w:hAnsi="宋体" w:eastAsia="宋体"/>
          <w:color w:val="auto"/>
          <w:kern w:val="0"/>
          <w:sz w:val="24"/>
          <w:szCs w:val="24"/>
          <w:highlight w:val="none"/>
        </w:rPr>
        <w:t>付</w:t>
      </w:r>
      <w:r>
        <w:rPr>
          <w:rFonts w:hint="eastAsia" w:ascii="宋体" w:hAnsi="宋体" w:eastAsia="宋体"/>
          <w:color w:val="auto"/>
          <w:kern w:val="0"/>
          <w:sz w:val="24"/>
          <w:szCs w:val="24"/>
          <w:highlight w:val="none"/>
        </w:rPr>
        <w:t>合同金额的</w:t>
      </w:r>
      <w:r>
        <w:rPr>
          <w:rFonts w:ascii="宋体" w:hAnsi="宋体" w:eastAsia="宋体"/>
          <w:color w:val="auto"/>
          <w:kern w:val="0"/>
          <w:sz w:val="24"/>
          <w:szCs w:val="24"/>
          <w:highlight w:val="none"/>
        </w:rPr>
        <w:t>30%</w:t>
      </w:r>
      <w:r>
        <w:rPr>
          <w:rFonts w:hint="eastAsia" w:ascii="宋体" w:hAnsi="宋体"/>
          <w:color w:val="auto"/>
          <w:kern w:val="0"/>
          <w:sz w:val="24"/>
          <w:szCs w:val="24"/>
          <w:highlight w:val="none"/>
        </w:rPr>
        <w:t>；</w:t>
      </w:r>
      <w:r>
        <w:rPr>
          <w:rFonts w:ascii="宋体" w:hAnsi="宋体" w:eastAsia="宋体"/>
          <w:color w:val="auto"/>
          <w:kern w:val="0"/>
          <w:sz w:val="24"/>
          <w:szCs w:val="24"/>
          <w:highlight w:val="none"/>
        </w:rPr>
        <w:t>完成本采购项目所有工作</w:t>
      </w:r>
      <w:r>
        <w:rPr>
          <w:rFonts w:hint="eastAsia" w:ascii="宋体" w:hAnsi="宋体" w:eastAsia="宋体"/>
          <w:color w:val="auto"/>
          <w:kern w:val="0"/>
          <w:sz w:val="24"/>
          <w:szCs w:val="24"/>
          <w:highlight w:val="none"/>
        </w:rPr>
        <w:t>，乙方出具的水闸安全鉴定综合报告获得专家评审通过，并取得水利部门印发的水闸安全鉴定报告书等一切相关工作，甲方在30个工作日内支付70%余款</w:t>
      </w:r>
      <w:r>
        <w:rPr>
          <w:rFonts w:ascii="宋体" w:hAnsi="宋体" w:eastAsia="宋体"/>
          <w:color w:val="auto"/>
          <w:kern w:val="0"/>
          <w:sz w:val="24"/>
          <w:szCs w:val="24"/>
          <w:highlight w:val="none"/>
        </w:rPr>
        <w:t>。</w:t>
      </w:r>
      <w:r>
        <w:rPr>
          <w:rFonts w:hint="eastAsia" w:ascii="宋体" w:hAnsi="宋体" w:eastAsia="宋体"/>
          <w:color w:val="auto"/>
          <w:kern w:val="0"/>
          <w:sz w:val="24"/>
          <w:szCs w:val="24"/>
          <w:highlight w:val="none"/>
        </w:rPr>
        <w:t>每次付款前，乙方须提供对应金额的专用增值税发票。</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2.5 服务期限要求</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合同签订之日起</w:t>
      </w:r>
      <w:r>
        <w:rPr>
          <w:rFonts w:hint="eastAsia" w:ascii="宋体" w:hAnsi="宋体" w:eastAsia="宋体"/>
          <w:color w:val="auto"/>
          <w:kern w:val="0"/>
          <w:sz w:val="24"/>
          <w:szCs w:val="24"/>
          <w:highlight w:val="none"/>
        </w:rPr>
        <w:t>半</w:t>
      </w:r>
      <w:r>
        <w:rPr>
          <w:rFonts w:ascii="宋体" w:hAnsi="宋体" w:eastAsia="宋体"/>
          <w:color w:val="auto"/>
          <w:kern w:val="0"/>
          <w:sz w:val="24"/>
          <w:szCs w:val="24"/>
          <w:highlight w:val="none"/>
        </w:rPr>
        <w:t>年内</w:t>
      </w:r>
      <w:r>
        <w:rPr>
          <w:rFonts w:hint="eastAsia" w:ascii="宋体" w:hAnsi="宋体" w:eastAsia="宋体"/>
          <w:color w:val="auto"/>
          <w:kern w:val="0"/>
          <w:sz w:val="24"/>
          <w:szCs w:val="24"/>
          <w:highlight w:val="none"/>
        </w:rPr>
        <w:t>完成全部工作并出具安全鉴定审定单位印发的安全鉴定报告书</w:t>
      </w:r>
      <w:r>
        <w:rPr>
          <w:rFonts w:ascii="宋体" w:hAnsi="宋体" w:eastAsia="宋体"/>
          <w:color w:val="auto"/>
          <w:kern w:val="0"/>
          <w:sz w:val="24"/>
          <w:szCs w:val="24"/>
          <w:highlight w:val="none"/>
        </w:rPr>
        <w:t>。</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ascii="宋体" w:hAnsi="宋体" w:eastAsia="宋体"/>
          <w:b/>
          <w:bCs/>
          <w:color w:val="auto"/>
          <w:kern w:val="0"/>
          <w:sz w:val="24"/>
          <w:szCs w:val="24"/>
          <w:highlight w:val="none"/>
        </w:rPr>
        <w:t xml:space="preserve">2.6 </w:t>
      </w:r>
      <w:r>
        <w:rPr>
          <w:rFonts w:hint="eastAsia" w:ascii="宋体" w:hAnsi="宋体" w:eastAsia="宋体"/>
          <w:b/>
          <w:bCs/>
          <w:color w:val="auto"/>
          <w:kern w:val="0"/>
          <w:sz w:val="24"/>
          <w:szCs w:val="24"/>
          <w:highlight w:val="none"/>
        </w:rPr>
        <w:t>合同转让和分包</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ascii="宋体" w:hAnsi="宋体" w:eastAsia="宋体"/>
          <w:b/>
          <w:bCs/>
          <w:color w:val="auto"/>
          <w:kern w:val="0"/>
          <w:sz w:val="24"/>
          <w:szCs w:val="24"/>
          <w:highlight w:val="none"/>
        </w:rPr>
        <w:t>乙方不得以任何形式将合同转</w:t>
      </w:r>
      <w:r>
        <w:rPr>
          <w:rFonts w:hint="eastAsia" w:ascii="宋体" w:hAnsi="宋体" w:eastAsia="宋体"/>
          <w:b/>
          <w:bCs/>
          <w:color w:val="auto"/>
          <w:kern w:val="0"/>
          <w:sz w:val="24"/>
          <w:szCs w:val="24"/>
          <w:highlight w:val="none"/>
        </w:rPr>
        <w:t>让；</w:t>
      </w:r>
      <w:r>
        <w:rPr>
          <w:rFonts w:ascii="宋体" w:hAnsi="宋体" w:eastAsia="宋体"/>
          <w:b/>
          <w:bCs/>
          <w:color w:val="auto"/>
          <w:kern w:val="0"/>
          <w:sz w:val="24"/>
          <w:szCs w:val="24"/>
          <w:highlight w:val="none"/>
        </w:rPr>
        <w:t>乙方未</w:t>
      </w:r>
      <w:r>
        <w:rPr>
          <w:rFonts w:hint="eastAsia" w:ascii="宋体" w:hAnsi="宋体" w:eastAsia="宋体"/>
          <w:b/>
          <w:bCs/>
          <w:color w:val="auto"/>
          <w:kern w:val="0"/>
          <w:sz w:val="24"/>
          <w:szCs w:val="24"/>
          <w:highlight w:val="none"/>
        </w:rPr>
        <w:t>经甲方书面许可</w:t>
      </w:r>
      <w:r>
        <w:rPr>
          <w:rFonts w:ascii="宋体" w:hAnsi="宋体" w:eastAsia="宋体"/>
          <w:b/>
          <w:bCs/>
          <w:color w:val="auto"/>
          <w:kern w:val="0"/>
          <w:sz w:val="24"/>
          <w:szCs w:val="24"/>
          <w:highlight w:val="none"/>
        </w:rPr>
        <w:t>，不得将合同的非主体、非关键性工作分包给他人。</w:t>
      </w:r>
    </w:p>
    <w:p>
      <w:pPr>
        <w:widowControl/>
        <w:shd w:val="clear" w:color="auto" w:fill="FFFFFF"/>
        <w:adjustRightInd w:val="0"/>
        <w:snapToGrid w:val="0"/>
        <w:spacing w:line="360" w:lineRule="auto"/>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3</w:t>
      </w:r>
      <w:r>
        <w:rPr>
          <w:rFonts w:hint="eastAsia" w:ascii="宋体" w:hAnsi="宋体" w:eastAsia="宋体"/>
          <w:b/>
          <w:bCs/>
          <w:color w:val="auto"/>
          <w:kern w:val="0"/>
          <w:sz w:val="24"/>
          <w:szCs w:val="24"/>
          <w:highlight w:val="none"/>
        </w:rPr>
        <w:t>、供应商资格要求：</w:t>
      </w:r>
      <w:r>
        <w:rPr>
          <w:rFonts w:ascii="宋体" w:hAnsi="宋体" w:eastAsia="宋体"/>
          <w:color w:val="auto"/>
          <w:kern w:val="0"/>
          <w:sz w:val="24"/>
          <w:szCs w:val="24"/>
          <w:highlight w:val="none"/>
        </w:rPr>
        <w:t xml:space="preserve"> </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3.1 供应商必须是具有独立承担民事责任能力的中华人民共和国的法人，提供营业执照（或事业法人证书）复印件并加盖单位公章。</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3.2 供应商必须是具有建设行政主管部门颁发的工程设计水利行业乙级及以上的设计单位，或是经水利部认定为可承担大中型水闸安全评价单位的水利科研院（所），提供资质证书或水利部认定文件的复印件并加盖单位公章。</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3.3 供应商必须对本项目水闸进行现场查勘，提供有建设单位签证的现场查勘记录。</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3.4 不接受联合报价。</w:t>
      </w:r>
    </w:p>
    <w:p>
      <w:pPr>
        <w:widowControl/>
        <w:shd w:val="clear" w:color="auto" w:fill="FFFFFF"/>
        <w:adjustRightInd w:val="0"/>
        <w:snapToGrid w:val="0"/>
        <w:spacing w:line="360" w:lineRule="auto"/>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4.</w:t>
      </w:r>
      <w:r>
        <w:rPr>
          <w:rFonts w:hint="eastAsia" w:ascii="宋体" w:hAnsi="宋体" w:eastAsia="宋体"/>
          <w:b/>
          <w:bCs/>
          <w:color w:val="auto"/>
          <w:kern w:val="0"/>
          <w:sz w:val="24"/>
          <w:szCs w:val="24"/>
          <w:highlight w:val="none"/>
        </w:rPr>
        <w:t>询价报名方式：</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4</w:t>
      </w:r>
      <w:r>
        <w:rPr>
          <w:rFonts w:hint="eastAsia" w:ascii="宋体" w:hAnsi="宋体" w:eastAsia="宋体"/>
          <w:color w:val="auto"/>
          <w:kern w:val="0"/>
          <w:sz w:val="24"/>
          <w:szCs w:val="24"/>
          <w:highlight w:val="none"/>
        </w:rPr>
        <w:t>.1 供应商于公告发布之日起至2021年</w:t>
      </w:r>
      <w:r>
        <w:rPr>
          <w:rFonts w:hint="eastAsia" w:ascii="宋体" w:hAnsi="宋体" w:eastAsia="宋体"/>
          <w:color w:val="auto"/>
          <w:kern w:val="0"/>
          <w:sz w:val="24"/>
          <w:szCs w:val="24"/>
          <w:highlight w:val="none"/>
          <w:lang w:val="en-US" w:eastAsia="zh-CN"/>
        </w:rPr>
        <w:t>9</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lang w:val="en-US" w:eastAsia="zh-CN"/>
        </w:rPr>
        <w:t>2</w:t>
      </w:r>
      <w:r>
        <w:rPr>
          <w:rFonts w:hint="eastAsia" w:ascii="宋体" w:hAnsi="宋体" w:eastAsia="宋体"/>
          <w:color w:val="auto"/>
          <w:kern w:val="0"/>
          <w:sz w:val="24"/>
          <w:szCs w:val="24"/>
          <w:highlight w:val="none"/>
        </w:rPr>
        <w:t>日17时00分止（北京时间）可在《招采猫电子交易平台》进行注册账号（平台注册详见：http://www.cetbs.com/articleDetails/51092b98-99d4-426d-8a0f-e41b56c1b242），注册成功后登录账号进行相关平台操作（投标人平台操作详见：</w:t>
      </w:r>
      <w:r>
        <w:rPr>
          <w:color w:val="auto"/>
          <w:highlight w:val="none"/>
        </w:rPr>
        <w:fldChar w:fldCharType="begin"/>
      </w:r>
      <w:r>
        <w:rPr>
          <w:color w:val="auto"/>
          <w:highlight w:val="none"/>
        </w:rPr>
        <w:instrText xml:space="preserve"> HYPERLINK "http://www.cetbs.com/articleDetails/523d44e7-38a8-43b3-b22c-e894ee9f711c" </w:instrText>
      </w:r>
      <w:r>
        <w:rPr>
          <w:color w:val="auto"/>
          <w:highlight w:val="none"/>
        </w:rPr>
        <w:fldChar w:fldCharType="separate"/>
      </w:r>
      <w:r>
        <w:rPr>
          <w:rFonts w:hint="eastAsia" w:ascii="宋体" w:hAnsi="宋体" w:eastAsia="宋体"/>
          <w:color w:val="auto"/>
          <w:kern w:val="0"/>
          <w:sz w:val="24"/>
          <w:szCs w:val="24"/>
          <w:highlight w:val="none"/>
        </w:rPr>
        <w:t>http://www.cetbs.com/articleDetails/523d44e7-38a8-43b3-b22c-e894ee9f711c</w:t>
      </w:r>
      <w:r>
        <w:rPr>
          <w:rFonts w:hint="eastAsia" w:ascii="宋体" w:hAnsi="宋体" w:eastAsia="宋体"/>
          <w:color w:val="auto"/>
          <w:kern w:val="0"/>
          <w:sz w:val="24"/>
          <w:szCs w:val="24"/>
          <w:highlight w:val="none"/>
        </w:rPr>
        <w:fldChar w:fldCharType="end"/>
      </w:r>
      <w:r>
        <w:rPr>
          <w:rFonts w:hint="eastAsia" w:ascii="宋体" w:hAnsi="宋体" w:eastAsia="宋体"/>
          <w:color w:val="auto"/>
          <w:kern w:val="0"/>
          <w:sz w:val="24"/>
          <w:szCs w:val="24"/>
          <w:highlight w:val="none"/>
        </w:rPr>
        <w:t>）。</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4</w:t>
      </w:r>
      <w:r>
        <w:rPr>
          <w:rFonts w:hint="eastAsia" w:ascii="宋体" w:hAnsi="宋体" w:eastAsia="宋体"/>
          <w:color w:val="auto"/>
          <w:kern w:val="0"/>
          <w:sz w:val="24"/>
          <w:szCs w:val="24"/>
          <w:highlight w:val="none"/>
        </w:rPr>
        <w:t>.2资格审查方式：</w:t>
      </w:r>
      <w:r>
        <w:rPr>
          <w:rFonts w:hint="eastAsia" w:ascii="宋体" w:hAnsi="宋体" w:eastAsia="宋体"/>
          <w:b/>
          <w:bCs/>
          <w:color w:val="auto"/>
          <w:kern w:val="0"/>
          <w:sz w:val="24"/>
          <w:szCs w:val="24"/>
          <w:highlight w:val="none"/>
        </w:rPr>
        <w:t>资格后审，投标人在进行网上报价的同时，上传资格证明材料的扫描件，格式见附件1。</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4.3缴费：本项目报名费0元，下载招标文件时扫码支付，售后不退。</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4.4报价截止时间：2021年</w:t>
      </w:r>
      <w:r>
        <w:rPr>
          <w:rFonts w:hint="eastAsia" w:ascii="宋体" w:hAnsi="宋体" w:eastAsia="宋体"/>
          <w:color w:val="auto"/>
          <w:kern w:val="0"/>
          <w:sz w:val="24"/>
          <w:szCs w:val="24"/>
          <w:highlight w:val="none"/>
          <w:lang w:val="en-US" w:eastAsia="zh-CN"/>
        </w:rPr>
        <w:t>9</w:t>
      </w:r>
      <w:r>
        <w:rPr>
          <w:rFonts w:ascii="宋体" w:hAnsi="宋体" w:eastAsia="宋体"/>
          <w:color w:val="auto"/>
          <w:kern w:val="0"/>
          <w:sz w:val="24"/>
          <w:szCs w:val="24"/>
          <w:highlight w:val="none"/>
        </w:rPr>
        <w:t>月</w:t>
      </w:r>
      <w:r>
        <w:rPr>
          <w:rFonts w:hint="eastAsia" w:ascii="宋体" w:hAnsi="宋体" w:eastAsia="宋体"/>
          <w:color w:val="auto"/>
          <w:kern w:val="0"/>
          <w:sz w:val="24"/>
          <w:szCs w:val="24"/>
          <w:highlight w:val="none"/>
          <w:lang w:val="en-US" w:eastAsia="zh-CN"/>
        </w:rPr>
        <w:t>3</w:t>
      </w:r>
      <w:r>
        <w:rPr>
          <w:rFonts w:ascii="宋体" w:hAnsi="宋体" w:eastAsia="宋体"/>
          <w:color w:val="auto"/>
          <w:kern w:val="0"/>
          <w:sz w:val="24"/>
          <w:szCs w:val="24"/>
          <w:highlight w:val="none"/>
        </w:rPr>
        <w:t>日9时00分止，报价业务如有变化，则另行通知。</w:t>
      </w:r>
      <w:r>
        <w:rPr>
          <w:rFonts w:hint="eastAsia" w:ascii="宋体" w:hAnsi="宋体" w:eastAsia="宋体"/>
          <w:b/>
          <w:bCs/>
          <w:color w:val="auto"/>
          <w:kern w:val="0"/>
          <w:sz w:val="24"/>
          <w:szCs w:val="24"/>
          <w:highlight w:val="none"/>
        </w:rPr>
        <w:t>报价截止时间开始前两小时内须在网上签到。</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4.5</w:t>
      </w:r>
      <w:r>
        <w:rPr>
          <w:rFonts w:hint="eastAsia" w:ascii="宋体" w:hAnsi="宋体" w:eastAsia="宋体"/>
          <w:color w:val="auto"/>
          <w:kern w:val="0"/>
          <w:sz w:val="24"/>
          <w:szCs w:val="24"/>
          <w:highlight w:val="none"/>
        </w:rPr>
        <w:t>报价</w:t>
      </w:r>
      <w:r>
        <w:rPr>
          <w:rFonts w:ascii="宋体" w:hAnsi="宋体" w:eastAsia="宋体"/>
          <w:color w:val="auto"/>
          <w:kern w:val="0"/>
          <w:sz w:val="24"/>
          <w:szCs w:val="24"/>
          <w:highlight w:val="none"/>
        </w:rPr>
        <w:t>文件的解密截止时间为2021年</w:t>
      </w:r>
      <w:r>
        <w:rPr>
          <w:rFonts w:hint="eastAsia" w:ascii="宋体" w:hAnsi="宋体" w:eastAsia="宋体"/>
          <w:color w:val="auto"/>
          <w:kern w:val="0"/>
          <w:sz w:val="24"/>
          <w:szCs w:val="24"/>
          <w:highlight w:val="none"/>
          <w:lang w:val="en-US" w:eastAsia="zh-CN"/>
        </w:rPr>
        <w:t>9</w:t>
      </w:r>
      <w:r>
        <w:rPr>
          <w:rFonts w:ascii="宋体" w:hAnsi="宋体" w:eastAsia="宋体"/>
          <w:color w:val="auto"/>
          <w:kern w:val="0"/>
          <w:sz w:val="24"/>
          <w:szCs w:val="24"/>
          <w:highlight w:val="none"/>
        </w:rPr>
        <w:t>月</w:t>
      </w:r>
      <w:r>
        <w:rPr>
          <w:rFonts w:hint="eastAsia" w:ascii="宋体" w:hAnsi="宋体" w:eastAsia="宋体"/>
          <w:color w:val="auto"/>
          <w:kern w:val="0"/>
          <w:sz w:val="24"/>
          <w:szCs w:val="24"/>
          <w:highlight w:val="none"/>
          <w:lang w:val="en-US" w:eastAsia="zh-CN"/>
        </w:rPr>
        <w:t>3</w:t>
      </w:r>
      <w:r>
        <w:rPr>
          <w:rFonts w:ascii="宋体" w:hAnsi="宋体" w:eastAsia="宋体"/>
          <w:color w:val="auto"/>
          <w:kern w:val="0"/>
          <w:sz w:val="24"/>
          <w:szCs w:val="24"/>
          <w:highlight w:val="none"/>
        </w:rPr>
        <w:t>日10时00分，投标人可在单</w:t>
      </w:r>
      <w:r>
        <w:rPr>
          <w:rFonts w:hint="eastAsia" w:ascii="宋体" w:hAnsi="宋体" w:eastAsia="宋体"/>
          <w:color w:val="auto"/>
          <w:kern w:val="0"/>
          <w:sz w:val="24"/>
          <w:szCs w:val="24"/>
          <w:highlight w:val="none"/>
        </w:rPr>
        <w:t>位在线解密，如在开标现场解密的请自备解密电脑和网络。</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5</w:t>
      </w:r>
      <w:r>
        <w:rPr>
          <w:rFonts w:hint="eastAsia" w:ascii="宋体" w:hAnsi="宋体" w:eastAsia="宋体"/>
          <w:b/>
          <w:bCs/>
          <w:color w:val="auto"/>
          <w:kern w:val="0"/>
          <w:sz w:val="24"/>
          <w:szCs w:val="24"/>
          <w:highlight w:val="none"/>
        </w:rPr>
        <w:t>.询价说明</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5.1参加本次询价的供应商应熟知网上报价平台使用方法及规则，并妥善保管登陆账户及密码。由于供应商遗失密码、操作失误或计算机网络、设备故障等原因，造成无法报价或报价失误，由供应商自行承担相应后果。</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5.2公开询价无效情形：</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5.2.1</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没有供应商递交有效公开询价文件或对公开询价没有供应商做出实质性响应的。</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5.2.2</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参与公开询价供应商有弄虚作假、相互串通等违规行为；</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5.2.3</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因重大变故，采购单位取消采购项目的。</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5.3询价报价形式：</w:t>
      </w:r>
      <w:r>
        <w:rPr>
          <w:rFonts w:ascii="宋体" w:hAnsi="宋体" w:eastAsia="宋体"/>
          <w:b/>
          <w:bCs/>
          <w:color w:val="auto"/>
          <w:kern w:val="0"/>
          <w:sz w:val="24"/>
          <w:szCs w:val="24"/>
          <w:highlight w:val="none"/>
        </w:rPr>
        <w:t>参加询价采购活动的供应商</w:t>
      </w:r>
      <w:bookmarkStart w:id="0" w:name="_Hlk73716289"/>
      <w:r>
        <w:rPr>
          <w:rFonts w:ascii="宋体" w:hAnsi="宋体" w:eastAsia="宋体"/>
          <w:b/>
          <w:bCs/>
          <w:color w:val="auto"/>
          <w:kern w:val="0"/>
          <w:sz w:val="24"/>
          <w:szCs w:val="24"/>
          <w:highlight w:val="none"/>
        </w:rPr>
        <w:t>，应当按照询价公告的规定</w:t>
      </w:r>
      <w:r>
        <w:rPr>
          <w:rFonts w:hint="eastAsia" w:ascii="宋体" w:hAnsi="宋体" w:eastAsia="宋体"/>
          <w:b/>
          <w:bCs/>
          <w:color w:val="auto"/>
          <w:kern w:val="0"/>
          <w:sz w:val="24"/>
          <w:szCs w:val="24"/>
          <w:highlight w:val="none"/>
        </w:rPr>
        <w:t>在《招采猫电子交易平台》中</w:t>
      </w:r>
      <w:bookmarkEnd w:id="0"/>
      <w:r>
        <w:rPr>
          <w:rFonts w:ascii="宋体" w:hAnsi="宋体" w:eastAsia="宋体"/>
          <w:b/>
          <w:bCs/>
          <w:color w:val="auto"/>
          <w:kern w:val="0"/>
          <w:sz w:val="24"/>
          <w:szCs w:val="24"/>
          <w:highlight w:val="none"/>
        </w:rPr>
        <w:t>一次报出不得更改的</w:t>
      </w:r>
      <w:r>
        <w:rPr>
          <w:rFonts w:hint="eastAsia" w:ascii="宋体" w:hAnsi="宋体" w:eastAsia="宋体"/>
          <w:b/>
          <w:bCs/>
          <w:color w:val="auto"/>
          <w:kern w:val="0"/>
          <w:sz w:val="24"/>
          <w:szCs w:val="24"/>
          <w:highlight w:val="none"/>
        </w:rPr>
        <w:t>报价[为成交金额抵扣完专用增值税税额后的金额（税前价）]和专用增值税税率，并上传报价表扫描件，格式见附件</w:t>
      </w:r>
      <w:r>
        <w:rPr>
          <w:rFonts w:ascii="宋体" w:hAnsi="宋体" w:eastAsia="宋体"/>
          <w:b/>
          <w:bCs/>
          <w:color w:val="auto"/>
          <w:kern w:val="0"/>
          <w:sz w:val="24"/>
          <w:szCs w:val="24"/>
          <w:highlight w:val="none"/>
        </w:rPr>
        <w:t>1</w:t>
      </w:r>
      <w:r>
        <w:rPr>
          <w:rFonts w:hint="eastAsia" w:ascii="宋体" w:hAnsi="宋体" w:eastAsia="宋体"/>
          <w:b/>
          <w:bCs/>
          <w:color w:val="auto"/>
          <w:kern w:val="0"/>
          <w:sz w:val="24"/>
          <w:szCs w:val="24"/>
          <w:highlight w:val="none"/>
        </w:rPr>
        <w:t>。本项目成交金额为询价报价加上专用增值税税额后的金额。</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ascii="宋体" w:hAnsi="宋体" w:eastAsia="宋体"/>
          <w:color w:val="auto"/>
          <w:kern w:val="0"/>
          <w:sz w:val="24"/>
          <w:szCs w:val="24"/>
          <w:highlight w:val="none"/>
        </w:rPr>
        <w:t>5.4确定成交供应商：供应商报价完成后，采购人</w:t>
      </w:r>
      <w:r>
        <w:rPr>
          <w:rFonts w:hint="eastAsia" w:ascii="宋体" w:hAnsi="宋体" w:eastAsia="宋体"/>
          <w:color w:val="auto"/>
          <w:kern w:val="0"/>
          <w:sz w:val="24"/>
          <w:szCs w:val="24"/>
          <w:highlight w:val="none"/>
        </w:rPr>
        <w:t>按照报价从低到高的顺序审查供应商资格审查资料；</w:t>
      </w:r>
      <w:r>
        <w:rPr>
          <w:rFonts w:ascii="宋体" w:hAnsi="宋体" w:eastAsia="宋体"/>
          <w:color w:val="auto"/>
          <w:kern w:val="0"/>
          <w:sz w:val="24"/>
          <w:szCs w:val="24"/>
          <w:highlight w:val="none"/>
        </w:rPr>
        <w:t>从</w:t>
      </w:r>
      <w:r>
        <w:rPr>
          <w:rFonts w:hint="eastAsia" w:ascii="宋体" w:hAnsi="宋体" w:eastAsia="宋体"/>
          <w:color w:val="auto"/>
          <w:kern w:val="0"/>
          <w:sz w:val="24"/>
          <w:szCs w:val="24"/>
          <w:highlight w:val="none"/>
        </w:rPr>
        <w:t>资格、</w:t>
      </w:r>
      <w:r>
        <w:rPr>
          <w:rFonts w:ascii="宋体" w:hAnsi="宋体" w:eastAsia="宋体"/>
          <w:color w:val="auto"/>
          <w:kern w:val="0"/>
          <w:sz w:val="24"/>
          <w:szCs w:val="24"/>
          <w:highlight w:val="none"/>
        </w:rPr>
        <w:t>质量和服务均能满足</w:t>
      </w:r>
      <w:r>
        <w:rPr>
          <w:rFonts w:hint="eastAsia" w:ascii="宋体" w:hAnsi="宋体" w:eastAsia="宋体"/>
          <w:color w:val="auto"/>
          <w:kern w:val="0"/>
          <w:sz w:val="24"/>
          <w:szCs w:val="24"/>
          <w:highlight w:val="none"/>
          <w:shd w:val="clear" w:color="auto" w:fill="FFFFFF"/>
        </w:rPr>
        <w:t>采购文件实质性响应要求的供应商中，确定报价最低的供应商为成交供应商。如报价结束后出现投标报价相等的，以供应商营业执照注册资金由高到低的顺序排序；如注册资金也相等时，由采购人根据供应商综合实力和售后服务能力综合考虑确定。原则上报价排名第一的供应商主动放弃成交资格的，可以顺延与排名第二的供应商进行谈判，参照第一名的报价定价，原则上不能超过该供应商的最终报价。采购人保留对拟成交供应商现场考察确认其资质和供货能力的权利，如不符合采购人要求，采购人有权不签订合同。采购人以书面形式向选定的供应商发出成交通知书，并将询价结果通知未成交的供应商。</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shd w:val="clear" w:color="auto" w:fill="FFFFFF"/>
        </w:rPr>
        <w:t>6.</w:t>
      </w:r>
      <w:r>
        <w:rPr>
          <w:rFonts w:hint="eastAsia" w:ascii="宋体" w:hAnsi="宋体" w:eastAsia="宋体"/>
          <w:b/>
          <w:bCs/>
          <w:color w:val="auto"/>
          <w:kern w:val="0"/>
          <w:sz w:val="24"/>
          <w:szCs w:val="24"/>
          <w:highlight w:val="none"/>
          <w:shd w:val="clear" w:color="auto" w:fill="FFFFFF"/>
        </w:rPr>
        <w:t>成交服务费</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6.1</w:t>
      </w:r>
      <w:r>
        <w:rPr>
          <w:rFonts w:hint="eastAsia" w:ascii="宋体" w:hAnsi="宋体" w:eastAsia="宋体"/>
          <w:color w:val="auto"/>
          <w:kern w:val="0"/>
          <w:sz w:val="24"/>
          <w:szCs w:val="24"/>
          <w:highlight w:val="none"/>
          <w:shd w:val="clear" w:color="auto" w:fill="FFFFFF"/>
        </w:rPr>
        <w:t>成交供应商在领取成交通知书时须向招标代理机构缴纳成交服务费。</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shd w:val="clear" w:color="auto" w:fill="FFFFFF"/>
        </w:rPr>
        <w:t>本次询价采购成交服务费为：成交金额的1</w:t>
      </w:r>
      <w:r>
        <w:rPr>
          <w:rFonts w:ascii="宋体" w:hAnsi="宋体" w:eastAsia="宋体"/>
          <w:color w:val="auto"/>
          <w:kern w:val="0"/>
          <w:sz w:val="24"/>
          <w:szCs w:val="24"/>
          <w:highlight w:val="none"/>
          <w:shd w:val="clear" w:color="auto" w:fill="FFFFFF"/>
        </w:rPr>
        <w:t>.5%</w:t>
      </w:r>
      <w:r>
        <w:rPr>
          <w:rFonts w:hint="eastAsia" w:ascii="宋体" w:hAnsi="宋体" w:eastAsia="宋体"/>
          <w:color w:val="auto"/>
          <w:kern w:val="0"/>
          <w:sz w:val="24"/>
          <w:szCs w:val="24"/>
          <w:highlight w:val="none"/>
          <w:shd w:val="clear" w:color="auto" w:fill="FFFFFF"/>
        </w:rPr>
        <w:t>，不足人民币1</w:t>
      </w:r>
      <w:r>
        <w:rPr>
          <w:rFonts w:ascii="宋体" w:hAnsi="宋体" w:eastAsia="宋体"/>
          <w:color w:val="auto"/>
          <w:kern w:val="0"/>
          <w:sz w:val="24"/>
          <w:szCs w:val="24"/>
          <w:highlight w:val="none"/>
          <w:shd w:val="clear" w:color="auto" w:fill="FFFFFF"/>
        </w:rPr>
        <w:t>000</w:t>
      </w:r>
      <w:r>
        <w:rPr>
          <w:rFonts w:hint="eastAsia" w:ascii="宋体" w:hAnsi="宋体" w:eastAsia="宋体"/>
          <w:color w:val="auto"/>
          <w:kern w:val="0"/>
          <w:sz w:val="24"/>
          <w:szCs w:val="24"/>
          <w:highlight w:val="none"/>
          <w:shd w:val="clear" w:color="auto" w:fill="FFFFFF"/>
        </w:rPr>
        <w:t>元的，按人民币1</w:t>
      </w:r>
      <w:r>
        <w:rPr>
          <w:rFonts w:ascii="宋体" w:hAnsi="宋体" w:eastAsia="宋体"/>
          <w:color w:val="auto"/>
          <w:kern w:val="0"/>
          <w:sz w:val="24"/>
          <w:szCs w:val="24"/>
          <w:highlight w:val="none"/>
          <w:shd w:val="clear" w:color="auto" w:fill="FFFFFF"/>
        </w:rPr>
        <w:t>000</w:t>
      </w:r>
      <w:r>
        <w:rPr>
          <w:rFonts w:hint="eastAsia" w:ascii="宋体" w:hAnsi="宋体" w:eastAsia="宋体"/>
          <w:color w:val="auto"/>
          <w:kern w:val="0"/>
          <w:sz w:val="24"/>
          <w:szCs w:val="24"/>
          <w:highlight w:val="none"/>
          <w:shd w:val="clear" w:color="auto" w:fill="FFFFFF"/>
        </w:rPr>
        <w:t>元计取。</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6.2</w:t>
      </w:r>
      <w:r>
        <w:rPr>
          <w:rFonts w:hint="eastAsia" w:ascii="宋体" w:hAnsi="宋体" w:eastAsia="宋体"/>
          <w:color w:val="auto"/>
          <w:kern w:val="0"/>
          <w:sz w:val="24"/>
          <w:szCs w:val="24"/>
          <w:highlight w:val="none"/>
          <w:shd w:val="clear" w:color="auto" w:fill="FFFFFF"/>
        </w:rPr>
        <w:t>成交服务费转账信息：</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账户名称：湖南洞庭项目管理有限公司</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帐</w:t>
      </w:r>
      <w:r>
        <w:rPr>
          <w:rFonts w:ascii="宋体" w:hAnsi="宋体" w:eastAsia="宋体"/>
          <w:color w:val="auto"/>
          <w:kern w:val="0"/>
          <w:sz w:val="24"/>
          <w:szCs w:val="24"/>
          <w:highlight w:val="none"/>
          <w:shd w:val="clear" w:color="auto" w:fill="FFFFFF"/>
        </w:rPr>
        <w:t xml:space="preserve">    号：4316 1200 0018 1502 89890</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shd w:val="clear" w:color="auto" w:fill="FFFFFF"/>
        </w:rPr>
        <w:t>开户银行：交通银行湖南省分行营业部</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6.3</w:t>
      </w:r>
      <w:r>
        <w:rPr>
          <w:rFonts w:hint="eastAsia" w:ascii="宋体" w:hAnsi="宋体" w:eastAsia="宋体"/>
          <w:color w:val="auto"/>
          <w:kern w:val="0"/>
          <w:sz w:val="24"/>
          <w:szCs w:val="24"/>
          <w:highlight w:val="none"/>
          <w:shd w:val="clear" w:color="auto" w:fill="FFFFFF"/>
        </w:rPr>
        <w:t>开具发票的说明：如成交供应商需开具增值税专用发票，请以下所示为标准，在成交服务费到账后领取成交通知书的同时连同纳税登记证提供给代理公司（线上邮件递交或线下纸质邮寄）</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按照以下信息开具增值税专用发票：</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单位名称：</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纳税人识别号：</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电话：</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开户行：</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账号：</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ascii="宋体" w:hAnsi="宋体" w:eastAsia="宋体"/>
          <w:b/>
          <w:bCs/>
          <w:color w:val="auto"/>
          <w:kern w:val="0"/>
          <w:sz w:val="24"/>
          <w:szCs w:val="24"/>
          <w:highlight w:val="none"/>
          <w:shd w:val="clear" w:color="auto" w:fill="FFFFFF"/>
        </w:rPr>
        <w:t>7.</w:t>
      </w:r>
      <w:r>
        <w:rPr>
          <w:rFonts w:hint="eastAsia" w:ascii="宋体" w:hAnsi="宋体" w:eastAsia="宋体"/>
          <w:b/>
          <w:bCs/>
          <w:color w:val="auto"/>
          <w:kern w:val="0"/>
          <w:sz w:val="24"/>
          <w:szCs w:val="24"/>
          <w:highlight w:val="none"/>
          <w:shd w:val="clear" w:color="auto" w:fill="FFFFFF"/>
        </w:rPr>
        <w:t>投标保证金</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投标保证金的形式：投标保证金必须从供应商基本账户转入到指定账户，否则报价无效。</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投标保证金的金额：人民币贰仟</w:t>
      </w:r>
      <w:r>
        <w:rPr>
          <w:rFonts w:hint="eastAsia" w:ascii="宋体" w:hAnsi="宋体" w:eastAsia="宋体"/>
          <w:color w:val="auto"/>
          <w:kern w:val="0"/>
          <w:sz w:val="24"/>
          <w:szCs w:val="24"/>
          <w:highlight w:val="none"/>
          <w:shd w:val="clear" w:color="auto" w:fill="FFFFFF"/>
          <w:lang w:val="en-US" w:eastAsia="zh-CN"/>
        </w:rPr>
        <w:t>伍佰</w:t>
      </w:r>
      <w:r>
        <w:rPr>
          <w:rFonts w:hint="eastAsia" w:ascii="宋体" w:hAnsi="宋体" w:eastAsia="宋体"/>
          <w:color w:val="auto"/>
          <w:kern w:val="0"/>
          <w:sz w:val="24"/>
          <w:szCs w:val="24"/>
          <w:highlight w:val="none"/>
          <w:shd w:val="clear" w:color="auto" w:fill="FFFFFF"/>
        </w:rPr>
        <w:t>圆整</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开户银行：兴业银行长沙市东塘支行</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开户户名：湖南洞庭项目管理有限公司</w:t>
      </w:r>
      <w:r>
        <w:rPr>
          <w:rFonts w:ascii="宋体" w:hAnsi="宋体" w:eastAsia="宋体"/>
          <w:color w:val="auto"/>
          <w:kern w:val="0"/>
          <w:sz w:val="24"/>
          <w:szCs w:val="24"/>
          <w:highlight w:val="none"/>
          <w:shd w:val="clear" w:color="auto" w:fill="FFFFFF"/>
        </w:rPr>
        <w:t xml:space="preserve">  </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帐</w:t>
      </w:r>
      <w:r>
        <w:rPr>
          <w:rFonts w:ascii="宋体" w:hAnsi="宋体" w:eastAsia="宋体"/>
          <w:color w:val="auto"/>
          <w:kern w:val="0"/>
          <w:sz w:val="24"/>
          <w:szCs w:val="24"/>
          <w:highlight w:val="none"/>
          <w:shd w:val="clear" w:color="auto" w:fill="FFFFFF"/>
        </w:rPr>
        <w:t xml:space="preserve">    号：3680 2010 01000 48828</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hint="eastAsia" w:ascii="宋体" w:hAnsi="宋体" w:eastAsia="宋体"/>
          <w:color w:val="auto"/>
          <w:kern w:val="0"/>
          <w:sz w:val="24"/>
          <w:szCs w:val="24"/>
          <w:highlight w:val="none"/>
          <w:shd w:val="clear" w:color="auto" w:fill="FFFFFF"/>
        </w:rPr>
        <w:t>备注：</w:t>
      </w:r>
      <w:r>
        <w:rPr>
          <w:rFonts w:ascii="宋体" w:hAnsi="宋体" w:eastAsia="宋体"/>
          <w:color w:val="auto"/>
          <w:kern w:val="0"/>
          <w:sz w:val="24"/>
          <w:szCs w:val="24"/>
          <w:highlight w:val="none"/>
          <w:shd w:val="clear" w:color="auto" w:fill="FFFFFF"/>
        </w:rPr>
        <w:t>投标保证金递交时，必须在银行进帐单上注明“</w:t>
      </w:r>
      <w:r>
        <w:rPr>
          <w:rFonts w:hint="eastAsia" w:ascii="宋体" w:hAnsi="宋体" w:eastAsia="宋体"/>
          <w:color w:val="auto"/>
          <w:kern w:val="0"/>
          <w:sz w:val="24"/>
          <w:szCs w:val="24"/>
          <w:highlight w:val="none"/>
          <w:shd w:val="clear" w:color="auto" w:fill="FFFFFF"/>
        </w:rPr>
        <w:t>株洲航电三门撇洪渠水闸安全鉴定</w:t>
      </w:r>
      <w:r>
        <w:rPr>
          <w:rFonts w:hint="eastAsia" w:ascii="宋体" w:hAnsi="宋体" w:eastAsia="宋体"/>
          <w:color w:val="auto"/>
          <w:kern w:val="0"/>
          <w:sz w:val="24"/>
          <w:szCs w:val="24"/>
          <w:highlight w:val="none"/>
          <w:shd w:val="clear" w:color="auto" w:fill="FFFFFF"/>
          <w:lang w:val="en-US" w:eastAsia="zh-CN"/>
        </w:rPr>
        <w:t>146</w:t>
      </w:r>
      <w:r>
        <w:rPr>
          <w:rFonts w:ascii="宋体" w:hAnsi="宋体" w:eastAsia="宋体"/>
          <w:color w:val="auto"/>
          <w:kern w:val="0"/>
          <w:sz w:val="24"/>
          <w:szCs w:val="24"/>
          <w:highlight w:val="none"/>
          <w:shd w:val="clear" w:color="auto" w:fill="FFFFFF"/>
        </w:rPr>
        <w:t>”的投标保证金，如果没注明，由此造成的后果由投标人自行负责。</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rPr>
      </w:pPr>
      <w:r>
        <w:rPr>
          <w:rFonts w:ascii="宋体" w:hAnsi="宋体" w:eastAsia="宋体"/>
          <w:b/>
          <w:bCs/>
          <w:color w:val="auto"/>
          <w:kern w:val="0"/>
          <w:sz w:val="24"/>
          <w:szCs w:val="24"/>
          <w:highlight w:val="none"/>
          <w:shd w:val="clear" w:color="auto" w:fill="FFFFFF"/>
        </w:rPr>
        <w:t>8.</w:t>
      </w:r>
      <w:r>
        <w:rPr>
          <w:rFonts w:hint="eastAsia" w:ascii="宋体" w:hAnsi="宋体" w:eastAsia="宋体"/>
          <w:b/>
          <w:bCs/>
          <w:color w:val="auto"/>
          <w:kern w:val="0"/>
          <w:sz w:val="24"/>
          <w:szCs w:val="24"/>
          <w:highlight w:val="none"/>
          <w:shd w:val="clear" w:color="auto" w:fill="FFFFFF"/>
        </w:rPr>
        <w:t>其他</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8.1</w:t>
      </w:r>
      <w:r>
        <w:rPr>
          <w:rFonts w:hint="eastAsia" w:ascii="宋体" w:hAnsi="宋体" w:eastAsia="宋体"/>
          <w:color w:val="auto"/>
          <w:kern w:val="0"/>
          <w:sz w:val="24"/>
          <w:szCs w:val="24"/>
          <w:highlight w:val="none"/>
          <w:shd w:val="clear" w:color="auto" w:fill="FFFFFF"/>
        </w:rPr>
        <w:t>《招采猫电子交易平台》根据《关于进一步规范电子招标投标系统建设运营的通知》的要求以及所提供的平台服务向投标人收取平台使用服务费（按单次或年度）。投标人成功缴纳平台服务费后，即可使用平台进行投标等相关业务操作。</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8</w:t>
      </w:r>
      <w:r>
        <w:rPr>
          <w:rFonts w:hint="eastAsia" w:ascii="宋体" w:hAnsi="宋体" w:eastAsia="宋体"/>
          <w:color w:val="auto"/>
          <w:kern w:val="0"/>
          <w:sz w:val="24"/>
          <w:szCs w:val="24"/>
          <w:highlight w:val="none"/>
        </w:rPr>
        <w:t>.2</w:t>
      </w:r>
      <w:r>
        <w:rPr>
          <w:rFonts w:hint="eastAsia" w:ascii="宋体" w:hAnsi="宋体" w:eastAsia="宋体"/>
          <w:color w:val="auto"/>
          <w:kern w:val="0"/>
          <w:sz w:val="24"/>
          <w:szCs w:val="24"/>
          <w:highlight w:val="none"/>
          <w:shd w:val="clear" w:color="auto" w:fill="FFFFFF"/>
        </w:rPr>
        <w:t>若因平台网上报价系统出现故障，应及时联系平台相关工作人员，由平台相关工作人员处理。</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8.3</w:t>
      </w:r>
      <w:r>
        <w:rPr>
          <w:rFonts w:hint="eastAsia" w:ascii="宋体" w:hAnsi="宋体" w:eastAsia="宋体"/>
          <w:color w:val="auto"/>
          <w:kern w:val="0"/>
          <w:sz w:val="24"/>
          <w:szCs w:val="24"/>
          <w:highlight w:val="none"/>
          <w:shd w:val="clear" w:color="auto" w:fill="FFFFFF"/>
        </w:rPr>
        <w:t>若供应商因为自身原因不能进行网上报价的，视为放弃参加询价。</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shd w:val="clear" w:color="auto" w:fill="FFFFFF"/>
        </w:rPr>
        <w:t>8.4</w:t>
      </w:r>
      <w:r>
        <w:rPr>
          <w:rFonts w:hint="eastAsia" w:ascii="宋体" w:hAnsi="宋体" w:eastAsia="宋体"/>
          <w:color w:val="auto"/>
          <w:kern w:val="0"/>
          <w:sz w:val="24"/>
          <w:szCs w:val="24"/>
          <w:highlight w:val="none"/>
          <w:shd w:val="clear" w:color="auto" w:fill="FFFFFF"/>
        </w:rPr>
        <w:t>如线上电子交易流程出现下列问题，经现场监督人员同意后，可以线下补救：</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shd w:val="clear" w:color="auto" w:fill="FFFFFF"/>
        </w:rPr>
        <w:t>①由于停电或系统故障导致投标单位解密失败的；</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shd w:val="clear" w:color="auto" w:fill="FFFFFF"/>
        </w:rPr>
      </w:pPr>
      <w:r>
        <w:rPr>
          <w:rFonts w:ascii="宋体" w:hAnsi="宋体" w:eastAsia="宋体"/>
          <w:color w:val="auto"/>
          <w:kern w:val="0"/>
          <w:sz w:val="24"/>
          <w:szCs w:val="24"/>
          <w:highlight w:val="none"/>
          <w:shd w:val="clear" w:color="auto" w:fill="FFFFFF"/>
        </w:rPr>
        <w:t>8.5</w:t>
      </w:r>
      <w:r>
        <w:rPr>
          <w:rFonts w:hint="eastAsia" w:ascii="宋体" w:hAnsi="宋体" w:eastAsia="宋体"/>
          <w:color w:val="auto"/>
          <w:kern w:val="0"/>
          <w:sz w:val="24"/>
          <w:szCs w:val="24"/>
          <w:highlight w:val="none"/>
          <w:shd w:val="clear" w:color="auto" w:fill="FFFFFF"/>
        </w:rPr>
        <w:t>本次询价公告在招采猫电子交易平台（</w:t>
      </w:r>
      <w:r>
        <w:rPr>
          <w:rFonts w:ascii="宋体" w:hAnsi="宋体" w:eastAsia="宋体"/>
          <w:color w:val="auto"/>
          <w:kern w:val="0"/>
          <w:sz w:val="24"/>
          <w:szCs w:val="24"/>
          <w:highlight w:val="none"/>
          <w:shd w:val="clear" w:color="auto" w:fill="FFFFFF"/>
        </w:rPr>
        <w:t>https://www.bidcat.cn/）</w:t>
      </w:r>
      <w:r>
        <w:rPr>
          <w:rFonts w:hint="eastAsia" w:ascii="宋体" w:hAnsi="宋体" w:eastAsia="宋体"/>
          <w:color w:val="auto"/>
          <w:kern w:val="0"/>
          <w:sz w:val="24"/>
          <w:szCs w:val="24"/>
          <w:highlight w:val="none"/>
          <w:shd w:val="clear" w:color="auto" w:fill="FFFFFF"/>
        </w:rPr>
        <w:t>上发布。</w:t>
      </w:r>
    </w:p>
    <w:p>
      <w:pPr>
        <w:widowControl/>
        <w:shd w:val="clear" w:color="auto" w:fill="FFFFFF"/>
        <w:adjustRightInd w:val="0"/>
        <w:snapToGrid w:val="0"/>
        <w:spacing w:line="360" w:lineRule="auto"/>
        <w:ind w:firstLine="482" w:firstLineChars="200"/>
        <w:jc w:val="left"/>
        <w:rPr>
          <w:rFonts w:ascii="宋体" w:hAnsi="宋体" w:eastAsia="宋体"/>
          <w:b/>
          <w:bCs/>
          <w:color w:val="auto"/>
          <w:kern w:val="0"/>
          <w:sz w:val="24"/>
          <w:szCs w:val="24"/>
          <w:highlight w:val="none"/>
          <w:shd w:val="clear" w:color="auto" w:fill="FFFFFF"/>
        </w:rPr>
      </w:pPr>
      <w:r>
        <w:rPr>
          <w:rFonts w:ascii="宋体" w:hAnsi="宋体" w:eastAsia="宋体"/>
          <w:b/>
          <w:bCs/>
          <w:color w:val="auto"/>
          <w:kern w:val="0"/>
          <w:sz w:val="24"/>
          <w:szCs w:val="24"/>
          <w:highlight w:val="none"/>
          <w:shd w:val="clear" w:color="auto" w:fill="FFFFFF"/>
        </w:rPr>
        <w:t>8.6</w:t>
      </w:r>
      <w:r>
        <w:rPr>
          <w:rFonts w:hint="eastAsia" w:ascii="宋体" w:hAnsi="宋体" w:eastAsia="宋体"/>
          <w:b/>
          <w:bCs/>
          <w:color w:val="auto"/>
          <w:kern w:val="0"/>
          <w:sz w:val="24"/>
          <w:szCs w:val="24"/>
          <w:highlight w:val="none"/>
          <w:shd w:val="clear" w:color="auto" w:fill="FFFFFF"/>
        </w:rPr>
        <w:t>成交结果确定后，成交供应商需递交一份纸质加盖单位公章的本公告</w:t>
      </w:r>
      <w:r>
        <w:rPr>
          <w:rFonts w:hint="eastAsia" w:ascii="宋体" w:hAnsi="宋体" w:eastAsia="宋体"/>
          <w:b/>
          <w:bCs/>
          <w:color w:val="auto"/>
          <w:kern w:val="0"/>
          <w:sz w:val="24"/>
          <w:szCs w:val="24"/>
          <w:highlight w:val="none"/>
        </w:rPr>
        <w:t>“2</w:t>
      </w:r>
      <w:r>
        <w:rPr>
          <w:rFonts w:ascii="宋体" w:hAnsi="宋体" w:eastAsia="宋体"/>
          <w:b/>
          <w:bCs/>
          <w:color w:val="auto"/>
          <w:kern w:val="0"/>
          <w:sz w:val="24"/>
          <w:szCs w:val="24"/>
          <w:highlight w:val="none"/>
        </w:rPr>
        <w:t>.</w:t>
      </w:r>
      <w:r>
        <w:rPr>
          <w:rFonts w:hint="eastAsia" w:ascii="宋体" w:hAnsi="宋体" w:eastAsia="宋体"/>
          <w:b/>
          <w:bCs/>
          <w:color w:val="auto"/>
          <w:kern w:val="0"/>
          <w:sz w:val="24"/>
          <w:szCs w:val="24"/>
          <w:highlight w:val="none"/>
        </w:rPr>
        <w:t>供应商资格要求”要求的</w:t>
      </w:r>
      <w:r>
        <w:rPr>
          <w:rFonts w:hint="eastAsia" w:ascii="宋体" w:hAnsi="宋体" w:eastAsia="宋体"/>
          <w:b/>
          <w:bCs/>
          <w:color w:val="auto"/>
          <w:kern w:val="0"/>
          <w:sz w:val="24"/>
          <w:szCs w:val="24"/>
          <w:highlight w:val="none"/>
          <w:shd w:val="clear" w:color="auto" w:fill="FFFFFF"/>
        </w:rPr>
        <w:t>资格审查资料和报价文件至采购代理机构。</w:t>
      </w:r>
    </w:p>
    <w:p>
      <w:pPr>
        <w:widowControl/>
        <w:shd w:val="clear" w:color="auto" w:fill="FFFFFF"/>
        <w:adjustRightInd w:val="0"/>
        <w:snapToGrid w:val="0"/>
        <w:spacing w:line="360" w:lineRule="auto"/>
        <w:ind w:firstLine="482" w:firstLineChars="200"/>
        <w:jc w:val="left"/>
        <w:rPr>
          <w:rFonts w:ascii="宋体" w:hAnsi="宋体" w:eastAsia="宋体"/>
          <w:color w:val="auto"/>
          <w:kern w:val="0"/>
          <w:sz w:val="24"/>
          <w:szCs w:val="24"/>
          <w:highlight w:val="none"/>
        </w:rPr>
      </w:pPr>
      <w:r>
        <w:rPr>
          <w:rFonts w:ascii="宋体" w:hAnsi="宋体" w:eastAsia="宋体"/>
          <w:b/>
          <w:bCs/>
          <w:color w:val="auto"/>
          <w:kern w:val="0"/>
          <w:sz w:val="24"/>
          <w:szCs w:val="24"/>
          <w:highlight w:val="none"/>
        </w:rPr>
        <w:t>9</w:t>
      </w:r>
      <w:r>
        <w:rPr>
          <w:rFonts w:hint="eastAsia" w:ascii="宋体" w:hAnsi="宋体" w:eastAsia="宋体"/>
          <w:b/>
          <w:bCs/>
          <w:color w:val="auto"/>
          <w:kern w:val="0"/>
          <w:sz w:val="24"/>
          <w:szCs w:val="24"/>
          <w:highlight w:val="none"/>
        </w:rPr>
        <w:t>.联系信息</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采购人：湖南发展集团股份有限公司株洲航电分公司</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 xml:space="preserve">地  址：湖南省株洲县洲坪乡 </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rPr>
        <w:t>曾先生</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电话： 0731-27638536</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采购代理机构：</w:t>
      </w:r>
      <w:r>
        <w:rPr>
          <w:rFonts w:ascii="宋体" w:hAnsi="宋体" w:eastAsia="宋体"/>
          <w:color w:val="auto"/>
          <w:kern w:val="0"/>
          <w:sz w:val="24"/>
          <w:szCs w:val="24"/>
          <w:highlight w:val="none"/>
        </w:rPr>
        <w:t xml:space="preserve">湖南洞庭项目管理有限公司 </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地  址：长沙市雨花区劳动西路529号延年神禹酒店附楼2-3层</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rPr>
        <w:t>邓海华</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电  话：0731-85607772</w:t>
      </w:r>
      <w:r>
        <w:rPr>
          <w:rFonts w:hint="eastAsia" w:ascii="宋体" w:hAnsi="宋体" w:eastAsia="宋体"/>
          <w:color w:val="auto"/>
          <w:kern w:val="0"/>
          <w:sz w:val="24"/>
          <w:szCs w:val="24"/>
          <w:highlight w:val="none"/>
        </w:rPr>
        <w:t>、8</w:t>
      </w:r>
      <w:r>
        <w:rPr>
          <w:rFonts w:ascii="宋体" w:hAnsi="宋体" w:eastAsia="宋体"/>
          <w:color w:val="auto"/>
          <w:kern w:val="0"/>
          <w:sz w:val="24"/>
          <w:szCs w:val="24"/>
          <w:highlight w:val="none"/>
        </w:rPr>
        <w:t>5607775</w:t>
      </w:r>
      <w:r>
        <w:rPr>
          <w:rFonts w:hint="eastAsia" w:ascii="宋体" w:hAnsi="宋体" w:eastAsia="宋体"/>
          <w:color w:val="auto"/>
          <w:kern w:val="0"/>
          <w:sz w:val="24"/>
          <w:szCs w:val="24"/>
          <w:highlight w:val="none"/>
        </w:rPr>
        <w:t>，18670300898</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u w:val="single"/>
        </w:rPr>
      </w:pPr>
      <w:r>
        <w:rPr>
          <w:rFonts w:ascii="宋体" w:hAnsi="宋体" w:eastAsia="宋体"/>
          <w:color w:val="auto"/>
          <w:kern w:val="0"/>
          <w:sz w:val="24"/>
          <w:szCs w:val="24"/>
          <w:highlight w:val="none"/>
        </w:rPr>
        <w:t>电子邮箱：hndtc209@163.com</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招采猫电子交易平台联系方式：</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电话</w:t>
      </w:r>
      <w:r>
        <w:rPr>
          <w:rFonts w:ascii="宋体" w:hAnsi="宋体" w:eastAsia="宋体"/>
          <w:color w:val="auto"/>
          <w:kern w:val="0"/>
          <w:sz w:val="24"/>
          <w:szCs w:val="24"/>
          <w:highlight w:val="none"/>
        </w:rPr>
        <w:t> </w:t>
      </w:r>
      <w:r>
        <w:rPr>
          <w:rFonts w:hint="eastAsia" w:ascii="宋体" w:hAnsi="宋体" w:eastAsia="宋体"/>
          <w:color w:val="auto"/>
          <w:kern w:val="0"/>
          <w:sz w:val="24"/>
          <w:szCs w:val="24"/>
          <w:highlight w:val="none"/>
        </w:rPr>
        <w:t>：</w:t>
      </w:r>
      <w:r>
        <w:rPr>
          <w:rFonts w:ascii="宋体" w:hAnsi="宋体" w:eastAsia="宋体"/>
          <w:color w:val="auto"/>
          <w:kern w:val="0"/>
          <w:sz w:val="24"/>
          <w:szCs w:val="24"/>
          <w:highlight w:val="none"/>
        </w:rPr>
        <w:t>0731-89706069</w:t>
      </w:r>
    </w:p>
    <w:p>
      <w:pPr>
        <w:widowControl/>
        <w:shd w:val="clear" w:color="auto" w:fill="FFFFFF"/>
        <w:adjustRightInd w:val="0"/>
        <w:snapToGrid w:val="0"/>
        <w:spacing w:line="360" w:lineRule="auto"/>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平台客服</w:t>
      </w:r>
      <w:r>
        <w:rPr>
          <w:rFonts w:ascii="宋体" w:hAnsi="宋体" w:eastAsia="宋体"/>
          <w:color w:val="auto"/>
          <w:kern w:val="0"/>
          <w:sz w:val="24"/>
          <w:szCs w:val="24"/>
          <w:highlight w:val="none"/>
        </w:rPr>
        <w:t>QQ</w:t>
      </w:r>
      <w:r>
        <w:rPr>
          <w:rFonts w:hint="eastAsia" w:ascii="宋体" w:hAnsi="宋体" w:eastAsia="宋体"/>
          <w:color w:val="auto"/>
          <w:kern w:val="0"/>
          <w:sz w:val="24"/>
          <w:szCs w:val="24"/>
          <w:highlight w:val="none"/>
        </w:rPr>
        <w:t>：</w:t>
      </w:r>
      <w:r>
        <w:rPr>
          <w:rFonts w:ascii="宋体" w:hAnsi="宋体" w:eastAsia="宋体"/>
          <w:color w:val="auto"/>
          <w:kern w:val="0"/>
          <w:sz w:val="24"/>
          <w:szCs w:val="24"/>
          <w:highlight w:val="none"/>
        </w:rPr>
        <w:t>1105416404</w:t>
      </w:r>
    </w:p>
    <w:p>
      <w:pPr>
        <w:widowControl/>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br w:type="page"/>
      </w:r>
    </w:p>
    <w:p>
      <w:pPr>
        <w:widowControl/>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附件1</w:t>
      </w:r>
      <w:r>
        <w:rPr>
          <w:rFonts w:ascii="宋体" w:hAnsi="宋体" w:eastAsia="宋体"/>
          <w:b/>
          <w:bCs/>
          <w:color w:val="auto"/>
          <w:kern w:val="0"/>
          <w:sz w:val="32"/>
          <w:szCs w:val="32"/>
          <w:highlight w:val="none"/>
        </w:rPr>
        <w:t xml:space="preserve"> </w:t>
      </w:r>
      <w:r>
        <w:rPr>
          <w:rFonts w:hint="eastAsia" w:ascii="宋体" w:hAnsi="宋体" w:eastAsia="宋体"/>
          <w:b/>
          <w:bCs/>
          <w:color w:val="auto"/>
          <w:kern w:val="0"/>
          <w:sz w:val="32"/>
          <w:szCs w:val="32"/>
          <w:highlight w:val="none"/>
        </w:rPr>
        <w:t>资格证明材料和报价表</w:t>
      </w:r>
    </w:p>
    <w:p>
      <w:pPr>
        <w:widowControl/>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一、报名表</w:t>
      </w:r>
    </w:p>
    <w:p>
      <w:pPr>
        <w:adjustRightInd w:val="0"/>
        <w:snapToGrid w:val="0"/>
        <w:spacing w:before="156" w:beforeLines="50" w:after="156" w:afterLines="50" w:line="360" w:lineRule="auto"/>
        <w:jc w:val="center"/>
        <w:rPr>
          <w:rFonts w:ascii="宋体" w:hAnsi="宋体" w:eastAsia="宋体" w:cs="Times New Roman"/>
          <w:b/>
          <w:color w:val="auto"/>
          <w:sz w:val="32"/>
          <w:szCs w:val="28"/>
          <w:highlight w:val="none"/>
        </w:rPr>
      </w:pPr>
      <w:r>
        <w:rPr>
          <w:rFonts w:hint="eastAsia" w:ascii="宋体" w:hAnsi="宋体" w:eastAsia="宋体" w:cs="Times New Roman"/>
          <w:b/>
          <w:color w:val="auto"/>
          <w:sz w:val="32"/>
          <w:szCs w:val="28"/>
          <w:highlight w:val="none"/>
        </w:rPr>
        <w:t>询价授权</w:t>
      </w:r>
      <w:r>
        <w:rPr>
          <w:rFonts w:ascii="宋体" w:hAnsi="宋体" w:eastAsia="宋体" w:cs="Times New Roman"/>
          <w:b/>
          <w:color w:val="auto"/>
          <w:sz w:val="32"/>
          <w:szCs w:val="28"/>
          <w:highlight w:val="none"/>
        </w:rPr>
        <w:t>报名表</w:t>
      </w:r>
    </w:p>
    <w:p>
      <w:pPr>
        <w:spacing w:line="360" w:lineRule="auto"/>
        <w:ind w:firstLine="525" w:firstLineChars="250"/>
        <w:rPr>
          <w:rFonts w:ascii="Calibri" w:hAnsi="Calibri" w:eastAsia="宋体" w:cs="Times New Roman"/>
          <w:color w:val="auto"/>
          <w:szCs w:val="21"/>
          <w:highlight w:val="none"/>
        </w:rPr>
      </w:pPr>
      <w:r>
        <w:rPr>
          <w:rFonts w:ascii="Calibri" w:hAnsi="宋体" w:eastAsia="宋体" w:cs="Times New Roman"/>
          <w:color w:val="auto"/>
          <w:szCs w:val="21"/>
          <w:highlight w:val="none"/>
        </w:rPr>
        <w:t>本人</w:t>
      </w:r>
      <w:r>
        <w:rPr>
          <w:rFonts w:hint="eastAsia" w:ascii="Calibri" w:hAnsi="宋体" w:eastAsia="宋体" w:cs="Times New Roman"/>
          <w:color w:val="auto"/>
          <w:szCs w:val="21"/>
          <w:highlight w:val="none"/>
          <w:u w:val="single"/>
        </w:rPr>
        <w:t xml:space="preserve">       （身份证号：     ）</w:t>
      </w:r>
      <w:r>
        <w:rPr>
          <w:rFonts w:ascii="Calibri" w:hAnsi="宋体" w:eastAsia="宋体" w:cs="Times New Roman"/>
          <w:color w:val="auto"/>
          <w:szCs w:val="21"/>
          <w:highlight w:val="none"/>
        </w:rPr>
        <w:t>系</w:t>
      </w:r>
      <w:r>
        <w:rPr>
          <w:rFonts w:hint="eastAsia" w:ascii="Calibri" w:hAnsi="宋体" w:eastAsia="宋体" w:cs="Times New Roman"/>
          <w:color w:val="auto"/>
          <w:szCs w:val="21"/>
          <w:highlight w:val="none"/>
          <w:u w:val="single"/>
        </w:rPr>
        <w:t xml:space="preserve">                </w:t>
      </w:r>
      <w:r>
        <w:rPr>
          <w:rFonts w:ascii="Calibri" w:hAnsi="宋体" w:eastAsia="宋体" w:cs="Times New Roman"/>
          <w:color w:val="auto"/>
          <w:szCs w:val="21"/>
          <w:highlight w:val="none"/>
        </w:rPr>
        <w:t>的法定代表人，现委托</w:t>
      </w:r>
      <w:r>
        <w:rPr>
          <w:rFonts w:hint="eastAsia" w:ascii="Calibri" w:hAnsi="宋体" w:eastAsia="宋体" w:cs="Times New Roman"/>
          <w:color w:val="auto"/>
          <w:szCs w:val="21"/>
          <w:highlight w:val="none"/>
          <w:u w:val="single"/>
        </w:rPr>
        <w:t xml:space="preserve">    </w:t>
      </w:r>
      <w:r>
        <w:rPr>
          <w:rFonts w:ascii="Calibri" w:hAnsi="宋体" w:eastAsia="宋体" w:cs="Times New Roman"/>
          <w:color w:val="auto"/>
          <w:szCs w:val="21"/>
          <w:highlight w:val="none"/>
          <w:u w:val="single"/>
        </w:rPr>
        <w:t xml:space="preserve"> </w:t>
      </w:r>
      <w:r>
        <w:rPr>
          <w:rFonts w:hint="eastAsia" w:ascii="Calibri" w:hAnsi="宋体" w:eastAsia="宋体" w:cs="Times New Roman"/>
          <w:color w:val="auto"/>
          <w:szCs w:val="21"/>
          <w:highlight w:val="none"/>
          <w:u w:val="single"/>
        </w:rPr>
        <w:t xml:space="preserve"> （身份证号：      ）</w:t>
      </w:r>
      <w:r>
        <w:rPr>
          <w:rFonts w:ascii="Calibri" w:hAnsi="宋体" w:eastAsia="宋体" w:cs="Times New Roman"/>
          <w:color w:val="auto"/>
          <w:szCs w:val="21"/>
          <w:highlight w:val="none"/>
        </w:rPr>
        <w:t>为我方代理人。代理人根据授权，以我方名义</w:t>
      </w:r>
      <w:r>
        <w:rPr>
          <w:rFonts w:hint="eastAsia" w:ascii="Calibri" w:hAnsi="宋体" w:eastAsia="宋体" w:cs="Times New Roman"/>
          <w:color w:val="auto"/>
          <w:szCs w:val="21"/>
          <w:highlight w:val="none"/>
        </w:rPr>
        <w:t>参加</w:t>
      </w:r>
      <w:r>
        <w:rPr>
          <w:rFonts w:hint="eastAsia" w:ascii="Calibri" w:hAnsi="宋体" w:eastAsia="宋体" w:cs="Times New Roman"/>
          <w:color w:val="auto"/>
          <w:szCs w:val="21"/>
          <w:highlight w:val="none"/>
          <w:u w:val="single"/>
        </w:rPr>
        <w:t xml:space="preserve">  </w:t>
      </w:r>
      <w:r>
        <w:rPr>
          <w:rFonts w:ascii="Calibri" w:hAnsi="宋体" w:eastAsia="宋体" w:cs="Times New Roman"/>
          <w:color w:val="auto"/>
          <w:szCs w:val="21"/>
          <w:highlight w:val="none"/>
          <w:u w:val="single"/>
        </w:rPr>
        <w:t xml:space="preserve">   </w:t>
      </w:r>
      <w:r>
        <w:rPr>
          <w:rFonts w:hint="eastAsia" w:ascii="Calibri" w:hAnsi="宋体" w:eastAsia="宋体" w:cs="Times New Roman"/>
          <w:color w:val="auto"/>
          <w:szCs w:val="21"/>
          <w:highlight w:val="none"/>
          <w:u w:val="single"/>
        </w:rPr>
        <w:t xml:space="preserve">       </w:t>
      </w:r>
      <w:r>
        <w:rPr>
          <w:rFonts w:hint="eastAsia" w:ascii="Calibri" w:hAnsi="宋体" w:eastAsia="宋体" w:cs="Times New Roman"/>
          <w:color w:val="auto"/>
          <w:szCs w:val="21"/>
          <w:highlight w:val="none"/>
        </w:rPr>
        <w:t>一切采购活动中的响应文件的</w:t>
      </w:r>
      <w:r>
        <w:rPr>
          <w:rFonts w:ascii="Calibri" w:hAnsi="宋体" w:eastAsia="宋体" w:cs="Times New Roman"/>
          <w:color w:val="auto"/>
          <w:szCs w:val="21"/>
          <w:highlight w:val="none"/>
        </w:rPr>
        <w:t>签署、澄清、说明、补正、递交、撤回、修改和处理有关事宜，其法律后果由我方承担。</w:t>
      </w:r>
      <w:r>
        <w:rPr>
          <w:rFonts w:ascii="Calibri" w:hAnsi="Calibri" w:eastAsia="宋体" w:cs="Times New Roman"/>
          <w:color w:val="auto"/>
          <w:szCs w:val="21"/>
          <w:highlight w:val="none"/>
        </w:rPr>
        <w:t>我公司针对贵公司</w:t>
      </w:r>
      <w:r>
        <w:rPr>
          <w:rFonts w:hint="eastAsia" w:ascii="Calibri" w:hAnsi="Calibri" w:eastAsia="宋体" w:cs="Times New Roman"/>
          <w:color w:val="auto"/>
          <w:szCs w:val="21"/>
          <w:highlight w:val="none"/>
        </w:rPr>
        <w:t>采购代理</w:t>
      </w:r>
      <w:r>
        <w:rPr>
          <w:rFonts w:ascii="Calibri" w:hAnsi="Calibri" w:eastAsia="宋体" w:cs="Times New Roman"/>
          <w:color w:val="auto"/>
          <w:szCs w:val="21"/>
          <w:highlight w:val="none"/>
        </w:rPr>
        <w:t>编号</w:t>
      </w:r>
      <w:r>
        <w:rPr>
          <w:rFonts w:hint="eastAsia" w:ascii="Calibri" w:hAnsi="Calibri" w:eastAsia="宋体" w:cs="Times New Roman"/>
          <w:color w:val="auto"/>
          <w:szCs w:val="21"/>
          <w:highlight w:val="none"/>
        </w:rPr>
        <w:t>为</w:t>
      </w:r>
      <w:r>
        <w:rPr>
          <w:rFonts w:hint="eastAsia" w:ascii="Calibri" w:hAnsi="Calibri" w:eastAsia="宋体" w:cs="Times New Roman"/>
          <w:color w:val="auto"/>
          <w:szCs w:val="21"/>
          <w:highlight w:val="none"/>
          <w:u w:val="single"/>
        </w:rPr>
        <w:t xml:space="preserve">   </w:t>
      </w:r>
      <w:r>
        <w:rPr>
          <w:rFonts w:ascii="Calibri" w:hAnsi="Calibri" w:eastAsia="宋体" w:cs="Times New Roman"/>
          <w:color w:val="auto"/>
          <w:szCs w:val="21"/>
          <w:highlight w:val="none"/>
          <w:u w:val="single"/>
        </w:rPr>
        <w:t xml:space="preserve">       </w:t>
      </w:r>
      <w:r>
        <w:rPr>
          <w:rFonts w:hint="eastAsia" w:ascii="Calibri" w:hAnsi="Calibri" w:eastAsia="宋体" w:cs="Times New Roman"/>
          <w:color w:val="auto"/>
          <w:szCs w:val="21"/>
          <w:highlight w:val="none"/>
          <w:u w:val="single"/>
        </w:rPr>
        <w:t xml:space="preserve">  </w:t>
      </w:r>
      <w:r>
        <w:rPr>
          <w:rFonts w:ascii="Calibri" w:hAnsi="Calibri" w:eastAsia="宋体" w:cs="Times New Roman"/>
          <w:color w:val="auto"/>
          <w:szCs w:val="21"/>
          <w:highlight w:val="none"/>
        </w:rPr>
        <w:t>的</w:t>
      </w:r>
      <w:r>
        <w:rPr>
          <w:rFonts w:hint="eastAsia" w:ascii="Calibri" w:hAnsi="Calibri" w:eastAsia="宋体" w:cs="Times New Roman"/>
          <w:color w:val="auto"/>
          <w:szCs w:val="21"/>
          <w:highlight w:val="none"/>
        </w:rPr>
        <w:t>询价公告，</w:t>
      </w:r>
      <w:r>
        <w:rPr>
          <w:rFonts w:ascii="Calibri" w:hAnsi="Calibri" w:eastAsia="宋体" w:cs="Times New Roman"/>
          <w:color w:val="auto"/>
          <w:szCs w:val="21"/>
          <w:highlight w:val="none"/>
        </w:rPr>
        <w:t>郑重声明：</w:t>
      </w:r>
      <w:r>
        <w:rPr>
          <w:rFonts w:hint="eastAsia" w:ascii="Calibri" w:hAnsi="Calibri" w:eastAsia="宋体" w:cs="Times New Roman"/>
          <w:color w:val="auto"/>
          <w:szCs w:val="21"/>
          <w:highlight w:val="none"/>
        </w:rPr>
        <w:t>我公司</w:t>
      </w:r>
      <w:r>
        <w:rPr>
          <w:rFonts w:hint="eastAsia" w:ascii="Calibri" w:hAnsi="Calibri" w:eastAsia="宋体"/>
          <w:color w:val="auto"/>
          <w:szCs w:val="21"/>
          <w:highlight w:val="none"/>
        </w:rPr>
        <w:t>提供</w:t>
      </w:r>
      <w:r>
        <w:rPr>
          <w:rFonts w:hint="eastAsia" w:ascii="Calibri" w:hAnsi="Calibri" w:eastAsia="宋体"/>
          <w:color w:val="auto"/>
          <w:szCs w:val="21"/>
          <w:highlight w:val="none"/>
          <w:u w:val="single"/>
        </w:rPr>
        <w:t xml:space="preserve">   </w:t>
      </w:r>
      <w:r>
        <w:rPr>
          <w:rFonts w:ascii="Calibri" w:hAnsi="Calibri" w:eastAsia="宋体"/>
          <w:color w:val="auto"/>
          <w:szCs w:val="21"/>
          <w:highlight w:val="none"/>
          <w:u w:val="single"/>
        </w:rPr>
        <w:t xml:space="preserve">     </w:t>
      </w:r>
      <w:r>
        <w:rPr>
          <w:rFonts w:hint="eastAsia" w:ascii="Calibri" w:hAnsi="Calibri" w:eastAsia="宋体"/>
          <w:color w:val="auto"/>
          <w:szCs w:val="21"/>
          <w:highlight w:val="none"/>
          <w:u w:val="single"/>
        </w:rPr>
        <w:t xml:space="preserve"> </w:t>
      </w:r>
      <w:r>
        <w:rPr>
          <w:rFonts w:hint="eastAsia" w:ascii="Calibri" w:hAnsi="Calibri" w:eastAsia="宋体"/>
          <w:color w:val="auto"/>
          <w:szCs w:val="21"/>
          <w:highlight w:val="none"/>
        </w:rPr>
        <w:t>（工程、货物</w:t>
      </w:r>
      <w:r>
        <w:rPr>
          <w:rFonts w:ascii="Calibri" w:hAnsi="Calibri" w:eastAsia="宋体"/>
          <w:color w:val="auto"/>
          <w:szCs w:val="21"/>
          <w:highlight w:val="none"/>
        </w:rPr>
        <w:t>或服务</w:t>
      </w:r>
      <w:r>
        <w:rPr>
          <w:rFonts w:hint="eastAsia" w:ascii="Calibri" w:hAnsi="Calibri" w:eastAsia="宋体"/>
          <w:color w:val="auto"/>
          <w:szCs w:val="21"/>
          <w:highlight w:val="none"/>
        </w:rPr>
        <w:t>）质量标准符合采购公告要求，完全能满足采购方要求，如若无法满足采购方要求，我公司将对此负全部责任</w:t>
      </w:r>
      <w:r>
        <w:rPr>
          <w:rFonts w:ascii="Calibri" w:hAnsi="Calibri" w:eastAsia="宋体" w:cs="Times New Roman"/>
          <w:color w:val="auto"/>
          <w:szCs w:val="21"/>
          <w:highlight w:val="none"/>
        </w:rPr>
        <w:t>。</w:t>
      </w:r>
    </w:p>
    <w:p>
      <w:pPr>
        <w:widowControl/>
        <w:shd w:val="clear" w:color="auto" w:fill="FFFFFF"/>
        <w:adjustRightInd w:val="0"/>
        <w:snapToGrid w:val="0"/>
        <w:spacing w:line="360" w:lineRule="auto"/>
        <w:ind w:right="240" w:firstLine="420" w:firstLineChars="200"/>
        <w:jc w:val="right"/>
        <w:rPr>
          <w:rFonts w:ascii="宋体" w:hAnsi="宋体" w:eastAsia="宋体"/>
          <w:color w:val="auto"/>
          <w:kern w:val="0"/>
          <w:szCs w:val="21"/>
          <w:highlight w:val="none"/>
        </w:rPr>
      </w:pPr>
      <w:r>
        <w:rPr>
          <w:rFonts w:hint="eastAsia" w:ascii="宋体" w:hAnsi="宋体" w:eastAsia="宋体"/>
          <w:color w:val="auto"/>
          <w:kern w:val="0"/>
          <w:szCs w:val="21"/>
          <w:highlight w:val="none"/>
        </w:rPr>
        <w:t>供应商名称：</w:t>
      </w:r>
      <w:r>
        <w:rPr>
          <w:rFonts w:hint="eastAsia" w:ascii="宋体" w:hAnsi="宋体" w:eastAsia="宋体"/>
          <w:color w:val="auto"/>
          <w:kern w:val="0"/>
          <w:szCs w:val="21"/>
          <w:highlight w:val="none"/>
          <w:u w:val="single"/>
        </w:rPr>
        <w:t xml:space="preserve"> </w:t>
      </w:r>
      <w:r>
        <w:rPr>
          <w:rFonts w:ascii="宋体" w:hAnsi="宋体" w:eastAsia="宋体"/>
          <w:color w:val="auto"/>
          <w:kern w:val="0"/>
          <w:szCs w:val="21"/>
          <w:highlight w:val="none"/>
          <w:u w:val="single"/>
        </w:rPr>
        <w:t xml:space="preserve">              </w:t>
      </w:r>
      <w:r>
        <w:rPr>
          <w:rFonts w:hint="eastAsia" w:ascii="宋体" w:hAnsi="宋体" w:eastAsia="宋体"/>
          <w:color w:val="auto"/>
          <w:kern w:val="0"/>
          <w:szCs w:val="21"/>
          <w:highlight w:val="none"/>
        </w:rPr>
        <w:t>（全称）</w:t>
      </w:r>
    </w:p>
    <w:p>
      <w:pPr>
        <w:widowControl/>
        <w:shd w:val="clear" w:color="auto" w:fill="FFFFFF"/>
        <w:adjustRightInd w:val="0"/>
        <w:snapToGrid w:val="0"/>
        <w:spacing w:line="360" w:lineRule="auto"/>
        <w:ind w:right="240" w:firstLine="420" w:firstLineChars="200"/>
        <w:jc w:val="center"/>
        <w:rPr>
          <w:rFonts w:ascii="宋体" w:hAnsi="宋体" w:eastAsia="宋体"/>
          <w:color w:val="auto"/>
          <w:kern w:val="0"/>
          <w:szCs w:val="21"/>
          <w:highlight w:val="none"/>
        </w:rPr>
      </w:pP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（加盖单位公章）</w:t>
      </w:r>
    </w:p>
    <w:p>
      <w:pPr>
        <w:widowControl/>
        <w:shd w:val="clear" w:color="auto" w:fill="FFFFFF"/>
        <w:adjustRightInd w:val="0"/>
        <w:snapToGrid w:val="0"/>
        <w:spacing w:line="360" w:lineRule="auto"/>
        <w:ind w:right="240" w:firstLine="420" w:firstLineChars="200"/>
        <w:jc w:val="center"/>
        <w:rPr>
          <w:rFonts w:ascii="宋体" w:hAnsi="宋体" w:eastAsia="宋体"/>
          <w:color w:val="auto"/>
          <w:kern w:val="0"/>
          <w:szCs w:val="21"/>
          <w:highlight w:val="none"/>
        </w:rPr>
      </w:pPr>
    </w:p>
    <w:p>
      <w:pPr>
        <w:widowControl/>
        <w:shd w:val="clear" w:color="auto" w:fill="FFFFFF"/>
        <w:adjustRightInd w:val="0"/>
        <w:snapToGrid w:val="0"/>
        <w:spacing w:line="360" w:lineRule="auto"/>
        <w:ind w:right="240" w:firstLine="420" w:firstLineChars="200"/>
        <w:jc w:val="right"/>
        <w:rPr>
          <w:rFonts w:ascii="宋体" w:hAnsi="宋体" w:eastAsia="宋体" w:cs="Times New Roman"/>
          <w:color w:val="auto"/>
          <w:szCs w:val="21"/>
          <w:highlight w:val="none"/>
        </w:rPr>
      </w:pPr>
      <w:r>
        <w:rPr>
          <w:rFonts w:hint="eastAsia" w:ascii="宋体" w:hAnsi="宋体" w:eastAsia="宋体"/>
          <w:color w:val="auto"/>
          <w:kern w:val="0"/>
          <w:szCs w:val="21"/>
          <w:highlight w:val="none"/>
        </w:rPr>
        <w:t xml:space="preserve">年 </w:t>
      </w: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 xml:space="preserve">月 </w:t>
      </w: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日</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5"/>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采购代理编号</w:t>
            </w:r>
          </w:p>
        </w:tc>
        <w:tc>
          <w:tcPr>
            <w:tcW w:w="3335" w:type="pct"/>
            <w:vAlign w:val="center"/>
          </w:tcPr>
          <w:p>
            <w:pPr>
              <w:adjustRightInd w:val="0"/>
              <w:snapToGrid w:val="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项目名称</w:t>
            </w:r>
          </w:p>
        </w:tc>
        <w:tc>
          <w:tcPr>
            <w:tcW w:w="3335" w:type="pct"/>
            <w:vAlign w:val="center"/>
          </w:tcPr>
          <w:p>
            <w:pPr>
              <w:widowControl/>
              <w:adjustRightInd w:val="0"/>
              <w:snapToGrid w:val="0"/>
              <w:jc w:val="center"/>
              <w:outlineLvl w:val="1"/>
              <w:rPr>
                <w:rFonts w:ascii="宋体" w:hAnsi="宋体" w:eastAsia="宋体"/>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供应商名称</w:t>
            </w:r>
          </w:p>
        </w:tc>
        <w:tc>
          <w:tcPr>
            <w:tcW w:w="3335" w:type="pct"/>
            <w:vAlign w:val="center"/>
          </w:tcPr>
          <w:p>
            <w:pPr>
              <w:adjustRightInd w:val="0"/>
              <w:snapToGrid w:val="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供应商详细通讯地址</w:t>
            </w:r>
          </w:p>
        </w:tc>
        <w:tc>
          <w:tcPr>
            <w:tcW w:w="3335" w:type="pct"/>
            <w:vAlign w:val="center"/>
          </w:tcPr>
          <w:p>
            <w:pPr>
              <w:adjustRightInd w:val="0"/>
              <w:snapToGrid w:val="0"/>
              <w:jc w:val="center"/>
              <w:rPr>
                <w:rFonts w:ascii="宋体" w:hAnsi="宋体"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联 系 人</w:t>
            </w:r>
          </w:p>
        </w:tc>
        <w:tc>
          <w:tcPr>
            <w:tcW w:w="3335" w:type="pct"/>
            <w:vAlign w:val="center"/>
          </w:tcPr>
          <w:p>
            <w:pPr>
              <w:adjustRightInd w:val="0"/>
              <w:snapToGrid w:val="0"/>
              <w:jc w:val="center"/>
              <w:rPr>
                <w:rFonts w:ascii="宋体" w:hAnsi="宋体"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手    机</w:t>
            </w:r>
          </w:p>
        </w:tc>
        <w:tc>
          <w:tcPr>
            <w:tcW w:w="3335" w:type="pct"/>
            <w:vAlign w:val="center"/>
          </w:tcPr>
          <w:p>
            <w:pPr>
              <w:adjustRightInd w:val="0"/>
              <w:snapToGrid w:val="0"/>
              <w:jc w:val="center"/>
              <w:rPr>
                <w:rFonts w:ascii="宋体" w:hAnsi="宋体"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665" w:type="pct"/>
            <w:vAlign w:val="center"/>
          </w:tcPr>
          <w:p>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rPr>
              <w:t>E-mail （电子邮箱）</w:t>
            </w:r>
          </w:p>
        </w:tc>
        <w:tc>
          <w:tcPr>
            <w:tcW w:w="3335" w:type="pct"/>
            <w:vAlign w:val="center"/>
          </w:tcPr>
          <w:p>
            <w:pPr>
              <w:adjustRightInd w:val="0"/>
              <w:snapToGrid w:val="0"/>
              <w:jc w:val="center"/>
              <w:rPr>
                <w:rFonts w:ascii="宋体" w:hAnsi="宋体" w:eastAsia="宋体"/>
                <w:color w:val="auto"/>
                <w:kern w:val="0"/>
                <w:sz w:val="24"/>
                <w:highlight w:val="none"/>
              </w:rPr>
            </w:pPr>
          </w:p>
        </w:tc>
      </w:tr>
    </w:tbl>
    <w:p>
      <w:pPr>
        <w:widowControl/>
        <w:jc w:val="left"/>
        <w:rPr>
          <w:rFonts w:ascii="宋体" w:hAnsi="宋体" w:eastAsia="宋体"/>
          <w:b/>
          <w:bCs/>
          <w:color w:val="auto"/>
          <w:kern w:val="0"/>
          <w:sz w:val="32"/>
          <w:szCs w:val="32"/>
          <w:highlight w:val="none"/>
        </w:rPr>
      </w:pPr>
    </w:p>
    <w:p>
      <w:pPr>
        <w:widowControl/>
        <w:numPr>
          <w:ilvl w:val="0"/>
          <w:numId w:val="1"/>
        </w:numPr>
        <w:spacing w:before="156" w:beforeLines="50" w:after="156" w:afterLines="5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资格证明材料</w:t>
      </w:r>
    </w:p>
    <w:p>
      <w:pPr>
        <w:widowControl/>
        <w:spacing w:before="156" w:beforeLines="50" w:after="156" w:afterLines="50"/>
        <w:ind w:firstLine="643" w:firstLineChars="20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1、</w:t>
      </w:r>
      <w:r>
        <w:rPr>
          <w:rFonts w:ascii="宋体" w:hAnsi="宋体" w:eastAsia="宋体"/>
          <w:b/>
          <w:bCs/>
          <w:color w:val="auto"/>
          <w:kern w:val="0"/>
          <w:sz w:val="32"/>
          <w:szCs w:val="32"/>
          <w:highlight w:val="none"/>
        </w:rPr>
        <w:t>营业执照（或事业法人证书）复印件并加盖单位公章</w:t>
      </w:r>
    </w:p>
    <w:p>
      <w:pPr>
        <w:widowControl/>
        <w:ind w:firstLine="643" w:firstLineChars="200"/>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2、资质证书或水利部认定文件的复印件并加盖单位公章</w:t>
      </w:r>
    </w:p>
    <w:p>
      <w:pPr>
        <w:widowControl/>
        <w:jc w:val="left"/>
        <w:rPr>
          <w:rFonts w:ascii="宋体" w:hAnsi="宋体" w:eastAsia="宋体"/>
          <w:b/>
          <w:bCs/>
          <w:color w:val="auto"/>
          <w:kern w:val="0"/>
          <w:sz w:val="32"/>
          <w:szCs w:val="32"/>
          <w:highlight w:val="none"/>
        </w:rPr>
      </w:pPr>
    </w:p>
    <w:p>
      <w:pPr>
        <w:widowControl/>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三、承诺书</w:t>
      </w:r>
    </w:p>
    <w:p>
      <w:pPr>
        <w:widowControl/>
        <w:shd w:val="clear" w:color="auto" w:fill="FFFFFF"/>
        <w:adjustRightInd w:val="0"/>
        <w:snapToGrid w:val="0"/>
        <w:spacing w:before="156" w:beforeLines="50" w:after="156" w:afterLines="50"/>
        <w:jc w:val="center"/>
        <w:outlineLvl w:val="1"/>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承诺书</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致：（采购人）</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 xml:space="preserve">我方已熟知并愿意参加 </w:t>
      </w: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（项目名称），对询价项目的主要质量技术要求、服务期限等及中标后签订合同、执行合同事项作如下承诺∶</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1、我方与采购人或采购代理机构不存在隶属关系或者其他利害关系。</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2、我方与参加本项目的其他供应商不存在控股、关联关系，或者与其他供应商法定代表人（或者负责人）为同一人。</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3、我方未为本项目前期准备提供设计或咨询服务。</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4、我方在经营活动中没有存在下列重大违法记录：</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4.1 受到刑事处罚；</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4.2 受到三万元以上的罚款、责令停产停业、在一至三年内禁止参加招标采购活动、暂扣或者吊销许可证、暂扣或者吊销执照的行政处罚。</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5、我方向贵方递交报价文件即代表我们已经充分理解询价文件和报价规则且无异议，并认可贵公司拥有本次询价活动的最终解释权。</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6、我方保证报价文件的所有内容及提供给采购人的所有证明文件和资料是真实的、准确的，一旦发现上述资料和信息的失实和错误，贵方有权取消我方中标资格。</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7、我方将严格按照询价要求及国家现行的有关标准，对所供各项服务内容进行全过程的质量、安全管理和监控，保证实际提供服务的质量与内容与询价要求的完全一致，并对质量、安全负全责。</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8、如果中标，我方承诺按约定与采购人签署合同。</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9、我方如果在询价和合同执行过程中产生不良履约信用记录，采购人有权拒绝我方参与其公司范围内采购活动，我方对此完全接受。</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10、我方将格按照合同的规定做好各项服务，保证24小时的联系畅通（联系人∶</w:t>
      </w:r>
      <w:r>
        <w:rPr>
          <w:rFonts w:hint="eastAsia" w:ascii="宋体" w:hAnsi="宋体" w:eastAsia="宋体"/>
          <w:color w:val="auto"/>
          <w:kern w:val="0"/>
          <w:szCs w:val="21"/>
          <w:highlight w:val="none"/>
          <w:u w:val="single"/>
        </w:rPr>
        <w:t>    </w:t>
      </w:r>
      <w:r>
        <w:rPr>
          <w:rFonts w:hint="eastAsia" w:ascii="宋体" w:hAnsi="宋体" w:eastAsia="宋体"/>
          <w:color w:val="auto"/>
          <w:kern w:val="0"/>
          <w:szCs w:val="21"/>
          <w:highlight w:val="none"/>
        </w:rPr>
        <w:t>，联系电话∶</w:t>
      </w:r>
      <w:r>
        <w:rPr>
          <w:rFonts w:hint="eastAsia" w:ascii="宋体" w:hAnsi="宋体" w:eastAsia="宋体"/>
          <w:color w:val="auto"/>
          <w:kern w:val="0"/>
          <w:szCs w:val="21"/>
          <w:highlight w:val="none"/>
          <w:u w:val="single"/>
        </w:rPr>
        <w:t>     </w:t>
      </w:r>
      <w:r>
        <w:rPr>
          <w:rFonts w:hint="eastAsia" w:ascii="宋体" w:hAnsi="宋体" w:eastAsia="宋体"/>
          <w:color w:val="auto"/>
          <w:kern w:val="0"/>
          <w:szCs w:val="21"/>
          <w:highlight w:val="none"/>
        </w:rPr>
        <w:t>），对用户提出的问题或要求保证在 24小时内给予答复。</w:t>
      </w:r>
    </w:p>
    <w:p>
      <w:pPr>
        <w:widowControl/>
        <w:shd w:val="clear" w:color="auto" w:fill="FFFFFF"/>
        <w:adjustRightInd w:val="0"/>
        <w:snapToGrid w:val="0"/>
        <w:spacing w:line="360" w:lineRule="auto"/>
        <w:ind w:firstLine="420" w:firstLineChars="200"/>
        <w:jc w:val="left"/>
        <w:rPr>
          <w:rFonts w:ascii="宋体" w:hAnsi="宋体" w:eastAsia="宋体"/>
          <w:color w:val="auto"/>
          <w:kern w:val="0"/>
          <w:szCs w:val="21"/>
          <w:highlight w:val="none"/>
        </w:rPr>
      </w:pPr>
      <w:r>
        <w:rPr>
          <w:rFonts w:hint="eastAsia" w:ascii="宋体" w:hAnsi="宋体" w:eastAsia="宋体"/>
          <w:color w:val="auto"/>
          <w:kern w:val="0"/>
          <w:szCs w:val="21"/>
          <w:highlight w:val="none"/>
        </w:rPr>
        <w:t>如违反上述承诺任何一条，贵方有权取消我方成交资格，并愿承担由此引起的法律责任。</w:t>
      </w:r>
    </w:p>
    <w:p>
      <w:pPr>
        <w:widowControl/>
        <w:shd w:val="clear" w:color="auto" w:fill="FFFFFF"/>
        <w:adjustRightInd w:val="0"/>
        <w:snapToGrid w:val="0"/>
        <w:spacing w:line="360" w:lineRule="auto"/>
        <w:ind w:firstLine="420" w:firstLineChars="200"/>
        <w:jc w:val="right"/>
        <w:rPr>
          <w:rFonts w:ascii="宋体" w:hAnsi="宋体" w:eastAsia="宋体"/>
          <w:color w:val="auto"/>
          <w:kern w:val="0"/>
          <w:szCs w:val="21"/>
          <w:highlight w:val="none"/>
        </w:rPr>
      </w:pPr>
      <w:r>
        <w:rPr>
          <w:rFonts w:hint="eastAsia" w:ascii="宋体" w:hAnsi="宋体" w:eastAsia="宋体"/>
          <w:color w:val="auto"/>
          <w:kern w:val="0"/>
          <w:szCs w:val="21"/>
          <w:highlight w:val="none"/>
        </w:rPr>
        <w:t> </w:t>
      </w:r>
    </w:p>
    <w:p>
      <w:pPr>
        <w:widowControl/>
        <w:shd w:val="clear" w:color="auto" w:fill="FFFFFF"/>
        <w:adjustRightInd w:val="0"/>
        <w:snapToGrid w:val="0"/>
        <w:spacing w:line="360" w:lineRule="auto"/>
        <w:ind w:right="240" w:firstLine="420" w:firstLineChars="200"/>
        <w:jc w:val="right"/>
        <w:rPr>
          <w:rFonts w:ascii="宋体" w:hAnsi="宋体" w:eastAsia="宋体"/>
          <w:color w:val="auto"/>
          <w:kern w:val="0"/>
          <w:szCs w:val="21"/>
          <w:highlight w:val="none"/>
        </w:rPr>
      </w:pPr>
      <w:r>
        <w:rPr>
          <w:rFonts w:hint="eastAsia" w:ascii="宋体" w:hAnsi="宋体" w:eastAsia="宋体"/>
          <w:color w:val="auto"/>
          <w:kern w:val="0"/>
          <w:szCs w:val="21"/>
          <w:highlight w:val="none"/>
        </w:rPr>
        <w:t>供应商名称：</w:t>
      </w:r>
      <w:r>
        <w:rPr>
          <w:rFonts w:hint="eastAsia" w:ascii="宋体" w:hAnsi="宋体" w:eastAsia="宋体"/>
          <w:color w:val="auto"/>
          <w:kern w:val="0"/>
          <w:szCs w:val="21"/>
          <w:highlight w:val="none"/>
          <w:u w:val="single"/>
        </w:rPr>
        <w:t xml:space="preserve"> </w:t>
      </w:r>
      <w:r>
        <w:rPr>
          <w:rFonts w:ascii="宋体" w:hAnsi="宋体" w:eastAsia="宋体"/>
          <w:color w:val="auto"/>
          <w:kern w:val="0"/>
          <w:szCs w:val="21"/>
          <w:highlight w:val="none"/>
          <w:u w:val="single"/>
        </w:rPr>
        <w:t xml:space="preserve">              </w:t>
      </w:r>
      <w:r>
        <w:rPr>
          <w:rFonts w:hint="eastAsia" w:ascii="宋体" w:hAnsi="宋体" w:eastAsia="宋体"/>
          <w:color w:val="auto"/>
          <w:kern w:val="0"/>
          <w:szCs w:val="21"/>
          <w:highlight w:val="none"/>
        </w:rPr>
        <w:t>（全称）</w:t>
      </w:r>
    </w:p>
    <w:p>
      <w:pPr>
        <w:widowControl/>
        <w:shd w:val="clear" w:color="auto" w:fill="FFFFFF"/>
        <w:adjustRightInd w:val="0"/>
        <w:snapToGrid w:val="0"/>
        <w:spacing w:line="360" w:lineRule="auto"/>
        <w:ind w:right="240" w:firstLine="420" w:firstLineChars="200"/>
        <w:jc w:val="center"/>
        <w:rPr>
          <w:rFonts w:ascii="宋体" w:hAnsi="宋体" w:eastAsia="宋体"/>
          <w:color w:val="auto"/>
          <w:kern w:val="0"/>
          <w:szCs w:val="21"/>
          <w:highlight w:val="none"/>
        </w:rPr>
      </w:pP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（加盖单位公章）</w:t>
      </w:r>
    </w:p>
    <w:p>
      <w:pPr>
        <w:widowControl/>
        <w:shd w:val="clear" w:color="auto" w:fill="FFFFFF"/>
        <w:adjustRightInd w:val="0"/>
        <w:snapToGrid w:val="0"/>
        <w:spacing w:line="360" w:lineRule="auto"/>
        <w:ind w:right="240" w:firstLine="420" w:firstLineChars="200"/>
        <w:jc w:val="center"/>
        <w:rPr>
          <w:rFonts w:ascii="宋体" w:hAnsi="宋体" w:eastAsia="宋体"/>
          <w:color w:val="auto"/>
          <w:kern w:val="0"/>
          <w:szCs w:val="21"/>
          <w:highlight w:val="none"/>
        </w:rPr>
      </w:pPr>
    </w:p>
    <w:p>
      <w:pPr>
        <w:widowControl/>
        <w:shd w:val="clear" w:color="auto" w:fill="FFFFFF"/>
        <w:adjustRightInd w:val="0"/>
        <w:snapToGrid w:val="0"/>
        <w:spacing w:line="360" w:lineRule="auto"/>
        <w:ind w:right="240" w:firstLine="420" w:firstLineChars="200"/>
        <w:jc w:val="right"/>
        <w:rPr>
          <w:rFonts w:ascii="宋体" w:hAnsi="宋体" w:eastAsia="宋体" w:cs="Times New Roman"/>
          <w:color w:val="auto"/>
          <w:szCs w:val="21"/>
          <w:highlight w:val="none"/>
        </w:rPr>
      </w:pPr>
      <w:r>
        <w:rPr>
          <w:rFonts w:hint="eastAsia" w:ascii="宋体" w:hAnsi="宋体" w:eastAsia="宋体"/>
          <w:color w:val="auto"/>
          <w:kern w:val="0"/>
          <w:szCs w:val="21"/>
          <w:highlight w:val="none"/>
        </w:rPr>
        <w:t xml:space="preserve">年 </w:t>
      </w: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 xml:space="preserve">月 </w:t>
      </w:r>
      <w:r>
        <w:rPr>
          <w:rFonts w:ascii="宋体" w:hAnsi="宋体" w:eastAsia="宋体"/>
          <w:color w:val="auto"/>
          <w:kern w:val="0"/>
          <w:szCs w:val="21"/>
          <w:highlight w:val="none"/>
        </w:rPr>
        <w:t xml:space="preserve">  </w:t>
      </w:r>
      <w:r>
        <w:rPr>
          <w:rFonts w:hint="eastAsia" w:ascii="宋体" w:hAnsi="宋体" w:eastAsia="宋体"/>
          <w:color w:val="auto"/>
          <w:kern w:val="0"/>
          <w:szCs w:val="21"/>
          <w:highlight w:val="none"/>
        </w:rPr>
        <w:t>日</w:t>
      </w:r>
    </w:p>
    <w:p>
      <w:pPr>
        <w:widowControl/>
        <w:shd w:val="clear" w:color="auto" w:fill="FFFFFF"/>
        <w:adjustRightInd w:val="0"/>
        <w:snapToGrid w:val="0"/>
        <w:spacing w:line="360" w:lineRule="auto"/>
        <w:ind w:firstLine="480" w:firstLineChars="200"/>
        <w:jc w:val="right"/>
        <w:rPr>
          <w:rFonts w:ascii="宋体" w:hAnsi="宋体" w:eastAsia="宋体" w:cs="Times New Roman"/>
          <w:color w:val="auto"/>
          <w:sz w:val="24"/>
          <w:szCs w:val="24"/>
          <w:highlight w:val="none"/>
        </w:rPr>
      </w:pPr>
    </w:p>
    <w:p>
      <w:pPr>
        <w:widowControl/>
        <w:shd w:val="clear" w:color="auto" w:fill="FFFFFF"/>
        <w:adjustRightInd w:val="0"/>
        <w:snapToGrid w:val="0"/>
        <w:spacing w:line="360" w:lineRule="auto"/>
        <w:ind w:firstLine="420" w:firstLineChars="200"/>
        <w:jc w:val="right"/>
        <w:rPr>
          <w:rFonts w:ascii="宋体" w:hAnsi="宋体" w:eastAsia="宋体"/>
          <w:color w:val="auto"/>
          <w:kern w:val="0"/>
          <w:szCs w:val="21"/>
          <w:highlight w:val="none"/>
        </w:rPr>
      </w:pPr>
      <w:r>
        <w:rPr>
          <w:rFonts w:ascii="宋体" w:hAnsi="宋体" w:eastAsia="宋体"/>
          <w:color w:val="auto"/>
          <w:kern w:val="0"/>
          <w:szCs w:val="21"/>
          <w:highlight w:val="none"/>
        </w:rPr>
        <w:br w:type="page"/>
      </w:r>
    </w:p>
    <w:p>
      <w:pPr>
        <w:widowControl/>
        <w:spacing w:before="156" w:beforeLines="50" w:after="156" w:afterLines="50" w:line="360" w:lineRule="auto"/>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四、报价表</w:t>
      </w:r>
    </w:p>
    <w:p>
      <w:pPr>
        <w:widowControl/>
        <w:spacing w:before="156" w:beforeLines="50" w:after="156" w:afterLines="50"/>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株洲航电分公司三门撇洪渠水闸安全鉴定项目</w:t>
      </w:r>
    </w:p>
    <w:p>
      <w:pPr>
        <w:widowControl/>
        <w:spacing w:before="156" w:beforeLines="50" w:after="156" w:afterLines="50"/>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报价表</w:t>
      </w:r>
    </w:p>
    <w:p>
      <w:pPr>
        <w:widowControl/>
        <w:tabs>
          <w:tab w:val="left" w:pos="3786"/>
        </w:tabs>
        <w:ind w:left="113"/>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采购代理编号： </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单位：元</w:t>
      </w:r>
      <w:r>
        <w:rPr>
          <w:rFonts w:ascii="宋体" w:hAnsi="宋体" w:eastAsia="宋体"/>
          <w:color w:val="auto"/>
          <w:kern w:val="0"/>
          <w:sz w:val="24"/>
          <w:szCs w:val="24"/>
          <w:highlight w:val="none"/>
        </w:rPr>
        <w:t xml:space="preserve">  </w:t>
      </w:r>
    </w:p>
    <w:tbl>
      <w:tblPr>
        <w:tblStyle w:val="11"/>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5"/>
        <w:gridCol w:w="1910"/>
        <w:gridCol w:w="1710"/>
        <w:gridCol w:w="1821"/>
        <w:gridCol w:w="854"/>
        <w:gridCol w:w="159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szCs w:val="21"/>
                <w:highlight w:val="none"/>
              </w:rPr>
            </w:pPr>
            <w:r>
              <w:rPr>
                <w:rFonts w:hint="eastAsia" w:ascii="宋体" w:hAnsi="宋体" w:eastAsia="宋体"/>
                <w:b/>
                <w:bCs/>
                <w:color w:val="auto"/>
                <w:kern w:val="0"/>
                <w:szCs w:val="21"/>
                <w:highlight w:val="none"/>
              </w:rPr>
              <w:t>序号</w:t>
            </w:r>
          </w:p>
        </w:tc>
        <w:tc>
          <w:tcPr>
            <w:tcW w:w="1015"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szCs w:val="21"/>
                <w:highlight w:val="none"/>
              </w:rPr>
            </w:pPr>
            <w:r>
              <w:rPr>
                <w:rFonts w:hint="eastAsia" w:ascii="宋体" w:hAnsi="宋体" w:eastAsia="宋体"/>
                <w:b/>
                <w:bCs/>
                <w:color w:val="auto"/>
                <w:kern w:val="0"/>
                <w:szCs w:val="21"/>
                <w:highlight w:val="none"/>
              </w:rPr>
              <w:t>项目</w:t>
            </w:r>
          </w:p>
        </w:tc>
        <w:tc>
          <w:tcPr>
            <w:tcW w:w="909"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szCs w:val="21"/>
                <w:highlight w:val="none"/>
              </w:rPr>
            </w:pPr>
            <w:r>
              <w:rPr>
                <w:rFonts w:hint="eastAsia" w:ascii="宋体" w:hAnsi="宋体" w:eastAsia="宋体"/>
                <w:b/>
                <w:bCs/>
                <w:color w:val="auto"/>
                <w:szCs w:val="21"/>
                <w:highlight w:val="none"/>
              </w:rPr>
              <w:t>工作内容</w:t>
            </w:r>
          </w:p>
        </w:tc>
        <w:tc>
          <w:tcPr>
            <w:tcW w:w="968" w:type="pct"/>
            <w:shd w:val="clear" w:color="auto" w:fill="auto"/>
            <w:vAlign w:val="center"/>
          </w:tcPr>
          <w:p>
            <w:pPr>
              <w:widowControl/>
              <w:jc w:val="center"/>
              <w:textAlignment w:val="center"/>
              <w:rPr>
                <w:rFonts w:ascii="宋体" w:hAnsi="宋体" w:eastAsia="宋体"/>
                <w:b/>
                <w:bCs/>
                <w:color w:val="auto"/>
                <w:szCs w:val="21"/>
                <w:highlight w:val="none"/>
              </w:rPr>
            </w:pPr>
            <w:r>
              <w:rPr>
                <w:rFonts w:hint="eastAsia" w:ascii="宋体" w:hAnsi="宋体" w:eastAsia="宋体"/>
                <w:b/>
                <w:bCs/>
                <w:color w:val="auto"/>
                <w:szCs w:val="21"/>
                <w:highlight w:val="none"/>
              </w:rPr>
              <w:t>技术要求</w:t>
            </w:r>
          </w:p>
        </w:tc>
        <w:tc>
          <w:tcPr>
            <w:tcW w:w="45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szCs w:val="21"/>
                <w:highlight w:val="none"/>
              </w:rPr>
            </w:pPr>
            <w:r>
              <w:rPr>
                <w:rFonts w:hint="eastAsia" w:ascii="宋体" w:hAnsi="宋体" w:eastAsia="宋体"/>
                <w:b/>
                <w:bCs/>
                <w:color w:val="auto"/>
                <w:kern w:val="0"/>
                <w:szCs w:val="21"/>
                <w:highlight w:val="none"/>
              </w:rPr>
              <w:t>单位</w:t>
            </w:r>
          </w:p>
        </w:tc>
        <w:tc>
          <w:tcPr>
            <w:tcW w:w="847" w:type="pct"/>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价格（不含税）</w:t>
            </w:r>
          </w:p>
        </w:tc>
        <w:tc>
          <w:tcPr>
            <w:tcW w:w="564" w:type="pct"/>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1</w:t>
            </w:r>
          </w:p>
        </w:tc>
        <w:tc>
          <w:tcPr>
            <w:tcW w:w="1015"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 ...</w:t>
            </w:r>
          </w:p>
        </w:tc>
        <w:tc>
          <w:tcPr>
            <w:tcW w:w="909"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p>
        </w:tc>
        <w:tc>
          <w:tcPr>
            <w:tcW w:w="968" w:type="pct"/>
            <w:shd w:val="clear" w:color="auto" w:fill="auto"/>
            <w:vAlign w:val="center"/>
          </w:tcPr>
          <w:p>
            <w:pPr>
              <w:widowControl/>
              <w:jc w:val="center"/>
              <w:textAlignment w:val="center"/>
              <w:rPr>
                <w:rFonts w:ascii="宋体" w:hAnsi="宋体" w:eastAsia="宋体"/>
                <w:b/>
                <w:bCs/>
                <w:color w:val="auto"/>
                <w:kern w:val="0"/>
                <w:szCs w:val="21"/>
                <w:highlight w:val="none"/>
              </w:rPr>
            </w:pPr>
          </w:p>
        </w:tc>
        <w:tc>
          <w:tcPr>
            <w:tcW w:w="45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p>
        </w:tc>
        <w:tc>
          <w:tcPr>
            <w:tcW w:w="847" w:type="pct"/>
            <w:vAlign w:val="center"/>
          </w:tcPr>
          <w:p>
            <w:pPr>
              <w:widowControl/>
              <w:jc w:val="center"/>
              <w:textAlignment w:val="center"/>
              <w:rPr>
                <w:rFonts w:ascii="宋体" w:hAnsi="宋体" w:eastAsia="宋体"/>
                <w:b/>
                <w:bCs/>
                <w:color w:val="auto"/>
                <w:kern w:val="0"/>
                <w:szCs w:val="21"/>
                <w:highlight w:val="none"/>
              </w:rPr>
            </w:pPr>
          </w:p>
        </w:tc>
        <w:tc>
          <w:tcPr>
            <w:tcW w:w="564" w:type="pct"/>
            <w:vAlign w:val="center"/>
          </w:tcPr>
          <w:p>
            <w:pPr>
              <w:widowControl/>
              <w:jc w:val="center"/>
              <w:textAlignment w:val="center"/>
              <w:rPr>
                <w:rFonts w:ascii="宋体" w:hAnsi="宋体" w:eastAsia="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r>
              <w:rPr>
                <w:rFonts w:hint="eastAsia" w:ascii="宋体" w:hAnsi="宋体" w:eastAsia="宋体"/>
                <w:color w:val="auto"/>
                <w:kern w:val="0"/>
                <w:szCs w:val="21"/>
                <w:highlight w:val="none"/>
              </w:rPr>
              <w:t>1</w:t>
            </w:r>
            <w:r>
              <w:rPr>
                <w:rFonts w:ascii="宋体" w:hAnsi="宋体" w:eastAsia="宋体"/>
                <w:color w:val="auto"/>
                <w:kern w:val="0"/>
                <w:szCs w:val="21"/>
                <w:highlight w:val="none"/>
              </w:rPr>
              <w:t>.1</w:t>
            </w:r>
          </w:p>
        </w:tc>
        <w:tc>
          <w:tcPr>
            <w:tcW w:w="1015"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r>
              <w:rPr>
                <w:rFonts w:hint="eastAsia" w:ascii="宋体" w:hAnsi="宋体" w:eastAsia="宋体"/>
                <w:color w:val="auto"/>
                <w:kern w:val="0"/>
                <w:szCs w:val="21"/>
                <w:highlight w:val="none"/>
              </w:rPr>
              <w:t>... ...</w:t>
            </w:r>
          </w:p>
        </w:tc>
        <w:tc>
          <w:tcPr>
            <w:tcW w:w="909"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p>
        </w:tc>
        <w:tc>
          <w:tcPr>
            <w:tcW w:w="968" w:type="pct"/>
            <w:shd w:val="clear" w:color="auto" w:fill="auto"/>
            <w:vAlign w:val="center"/>
          </w:tcPr>
          <w:p>
            <w:pPr>
              <w:widowControl/>
              <w:jc w:val="center"/>
              <w:textAlignment w:val="center"/>
              <w:rPr>
                <w:rFonts w:ascii="宋体" w:hAnsi="宋体" w:eastAsia="宋体"/>
                <w:color w:val="auto"/>
                <w:kern w:val="0"/>
                <w:szCs w:val="21"/>
                <w:highlight w:val="none"/>
              </w:rPr>
            </w:pPr>
          </w:p>
        </w:tc>
        <w:tc>
          <w:tcPr>
            <w:tcW w:w="452"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p>
        </w:tc>
        <w:tc>
          <w:tcPr>
            <w:tcW w:w="847" w:type="pct"/>
            <w:vAlign w:val="center"/>
          </w:tcPr>
          <w:p>
            <w:pPr>
              <w:widowControl/>
              <w:jc w:val="center"/>
              <w:textAlignment w:val="center"/>
              <w:rPr>
                <w:rFonts w:ascii="宋体" w:hAnsi="宋体" w:eastAsia="宋体"/>
                <w:color w:val="auto"/>
                <w:kern w:val="0"/>
                <w:szCs w:val="21"/>
                <w:highlight w:val="none"/>
              </w:rPr>
            </w:pPr>
          </w:p>
        </w:tc>
        <w:tc>
          <w:tcPr>
            <w:tcW w:w="564" w:type="pct"/>
            <w:vAlign w:val="center"/>
          </w:tcPr>
          <w:p>
            <w:pPr>
              <w:widowControl/>
              <w:jc w:val="center"/>
              <w:textAlignment w:val="center"/>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r>
              <w:rPr>
                <w:rFonts w:hint="eastAsia" w:ascii="宋体" w:hAnsi="宋体" w:eastAsia="宋体"/>
                <w:color w:val="auto"/>
                <w:szCs w:val="21"/>
                <w:highlight w:val="none"/>
              </w:rPr>
              <w:t>1.2</w:t>
            </w:r>
          </w:p>
        </w:tc>
        <w:tc>
          <w:tcPr>
            <w:tcW w:w="1015"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szCs w:val="21"/>
                <w:highlight w:val="none"/>
              </w:rPr>
            </w:pPr>
          </w:p>
        </w:tc>
        <w:tc>
          <w:tcPr>
            <w:tcW w:w="909"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szCs w:val="21"/>
                <w:highlight w:val="none"/>
              </w:rPr>
            </w:pPr>
          </w:p>
        </w:tc>
        <w:tc>
          <w:tcPr>
            <w:tcW w:w="968" w:type="pct"/>
            <w:shd w:val="clear" w:color="auto" w:fill="auto"/>
            <w:vAlign w:val="center"/>
          </w:tcPr>
          <w:p>
            <w:pPr>
              <w:widowControl/>
              <w:jc w:val="center"/>
              <w:textAlignment w:val="center"/>
              <w:rPr>
                <w:rFonts w:ascii="宋体" w:hAnsi="宋体" w:eastAsia="宋体"/>
                <w:color w:val="auto"/>
                <w:kern w:val="0"/>
                <w:szCs w:val="21"/>
                <w:highlight w:val="none"/>
              </w:rPr>
            </w:pPr>
          </w:p>
        </w:tc>
        <w:tc>
          <w:tcPr>
            <w:tcW w:w="452"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kern w:val="0"/>
                <w:szCs w:val="21"/>
                <w:highlight w:val="none"/>
              </w:rPr>
            </w:pPr>
          </w:p>
        </w:tc>
        <w:tc>
          <w:tcPr>
            <w:tcW w:w="847" w:type="pct"/>
            <w:vAlign w:val="center"/>
          </w:tcPr>
          <w:p>
            <w:pPr>
              <w:widowControl/>
              <w:jc w:val="center"/>
              <w:textAlignment w:val="center"/>
              <w:rPr>
                <w:rFonts w:ascii="宋体" w:hAnsi="宋体" w:eastAsia="宋体"/>
                <w:color w:val="auto"/>
                <w:kern w:val="0"/>
                <w:szCs w:val="21"/>
                <w:highlight w:val="none"/>
              </w:rPr>
            </w:pPr>
          </w:p>
        </w:tc>
        <w:tc>
          <w:tcPr>
            <w:tcW w:w="564" w:type="pct"/>
            <w:vAlign w:val="center"/>
          </w:tcPr>
          <w:p>
            <w:pPr>
              <w:widowControl/>
              <w:jc w:val="center"/>
              <w:textAlignment w:val="center"/>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015" w:type="pct"/>
            <w:shd w:val="clear" w:color="auto" w:fill="auto"/>
            <w:noWrap/>
            <w:tcMar>
              <w:top w:w="15" w:type="dxa"/>
              <w:left w:w="15" w:type="dxa"/>
              <w:right w:w="15" w:type="dxa"/>
            </w:tcMar>
          </w:tcPr>
          <w:p>
            <w:pPr>
              <w:widowControl/>
              <w:jc w:val="center"/>
              <w:textAlignment w:val="center"/>
              <w:rPr>
                <w:rFonts w:ascii="宋体" w:hAnsi="宋体" w:eastAsia="宋体"/>
                <w:b/>
                <w:bCs/>
                <w:color w:val="auto"/>
                <w:kern w:val="0"/>
                <w:szCs w:val="21"/>
                <w:highlight w:val="none"/>
              </w:rPr>
            </w:pPr>
          </w:p>
        </w:tc>
        <w:tc>
          <w:tcPr>
            <w:tcW w:w="909"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p>
        </w:tc>
        <w:tc>
          <w:tcPr>
            <w:tcW w:w="968" w:type="pct"/>
            <w:shd w:val="clear" w:color="auto" w:fill="auto"/>
            <w:vAlign w:val="center"/>
          </w:tcPr>
          <w:p>
            <w:pPr>
              <w:widowControl/>
              <w:jc w:val="center"/>
              <w:textAlignment w:val="center"/>
              <w:rPr>
                <w:rFonts w:ascii="宋体" w:hAnsi="宋体" w:eastAsia="宋体"/>
                <w:color w:val="auto"/>
                <w:kern w:val="0"/>
                <w:szCs w:val="21"/>
                <w:highlight w:val="none"/>
              </w:rPr>
            </w:pPr>
          </w:p>
        </w:tc>
        <w:tc>
          <w:tcPr>
            <w:tcW w:w="45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p>
        </w:tc>
        <w:tc>
          <w:tcPr>
            <w:tcW w:w="847" w:type="pct"/>
            <w:vAlign w:val="center"/>
          </w:tcPr>
          <w:p>
            <w:pPr>
              <w:widowControl/>
              <w:jc w:val="center"/>
              <w:textAlignment w:val="center"/>
              <w:rPr>
                <w:rFonts w:ascii="宋体" w:hAnsi="宋体" w:eastAsia="宋体"/>
                <w:b/>
                <w:bCs/>
                <w:color w:val="auto"/>
                <w:kern w:val="0"/>
                <w:szCs w:val="21"/>
                <w:highlight w:val="none"/>
              </w:rPr>
            </w:pPr>
          </w:p>
        </w:tc>
        <w:tc>
          <w:tcPr>
            <w:tcW w:w="564" w:type="pct"/>
            <w:vAlign w:val="center"/>
          </w:tcPr>
          <w:p>
            <w:pPr>
              <w:widowControl/>
              <w:jc w:val="center"/>
              <w:textAlignment w:val="center"/>
              <w:rPr>
                <w:rFonts w:ascii="宋体" w:hAnsi="宋体" w:eastAsia="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2</w:t>
            </w:r>
          </w:p>
        </w:tc>
        <w:tc>
          <w:tcPr>
            <w:tcW w:w="3346" w:type="pct"/>
            <w:gridSpan w:val="4"/>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询价报价（税前价）</w:t>
            </w:r>
          </w:p>
        </w:tc>
        <w:tc>
          <w:tcPr>
            <w:tcW w:w="1411" w:type="pct"/>
            <w:gridSpan w:val="2"/>
            <w:vAlign w:val="center"/>
          </w:tcPr>
          <w:p>
            <w:pPr>
              <w:widowControl/>
              <w:jc w:val="right"/>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 xml:space="preserve">             （不含税）</w:t>
            </w:r>
          </w:p>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（填入《招采猫电子交易平台》中的价格）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3</w:t>
            </w:r>
          </w:p>
        </w:tc>
        <w:tc>
          <w:tcPr>
            <w:tcW w:w="3346" w:type="pct"/>
            <w:gridSpan w:val="4"/>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专用增值税税率（%）</w:t>
            </w:r>
          </w:p>
        </w:tc>
        <w:tc>
          <w:tcPr>
            <w:tcW w:w="1411" w:type="pct"/>
            <w:gridSpan w:val="2"/>
            <w:vAlign w:val="center"/>
          </w:tcPr>
          <w:p>
            <w:pPr>
              <w:widowControl/>
              <w:jc w:val="right"/>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4</w:t>
            </w:r>
          </w:p>
        </w:tc>
        <w:tc>
          <w:tcPr>
            <w:tcW w:w="3346" w:type="pct"/>
            <w:gridSpan w:val="4"/>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税费（2×3）</w:t>
            </w:r>
          </w:p>
        </w:tc>
        <w:tc>
          <w:tcPr>
            <w:tcW w:w="1411" w:type="pct"/>
            <w:gridSpan w:val="2"/>
            <w:vAlign w:val="center"/>
          </w:tcPr>
          <w:p>
            <w:pPr>
              <w:widowControl/>
              <w:jc w:val="center"/>
              <w:textAlignment w:val="center"/>
              <w:rPr>
                <w:rFonts w:ascii="宋体" w:hAnsi="宋体" w:eastAsia="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2" w:type="pct"/>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5</w:t>
            </w:r>
          </w:p>
        </w:tc>
        <w:tc>
          <w:tcPr>
            <w:tcW w:w="3346" w:type="pct"/>
            <w:gridSpan w:val="4"/>
            <w:shd w:val="clear" w:color="auto" w:fill="auto"/>
            <w:noWrap/>
            <w:tcMar>
              <w:top w:w="15" w:type="dxa"/>
              <w:left w:w="15" w:type="dxa"/>
              <w:right w:w="15" w:type="dxa"/>
            </w:tcMar>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询价成交金额（2</w:t>
            </w:r>
            <w:r>
              <w:rPr>
                <w:rFonts w:ascii="宋体" w:hAnsi="宋体" w:eastAsia="宋体"/>
                <w:b/>
                <w:bCs/>
                <w:color w:val="auto"/>
                <w:kern w:val="0"/>
                <w:szCs w:val="21"/>
                <w:highlight w:val="none"/>
              </w:rPr>
              <w:t>+</w:t>
            </w:r>
            <w:r>
              <w:rPr>
                <w:rFonts w:hint="eastAsia" w:ascii="宋体" w:hAnsi="宋体" w:eastAsia="宋体"/>
                <w:b/>
                <w:bCs/>
                <w:color w:val="auto"/>
                <w:kern w:val="0"/>
                <w:szCs w:val="21"/>
                <w:highlight w:val="none"/>
              </w:rPr>
              <w:t>4）</w:t>
            </w:r>
          </w:p>
        </w:tc>
        <w:tc>
          <w:tcPr>
            <w:tcW w:w="1411" w:type="pct"/>
            <w:gridSpan w:val="2"/>
            <w:vAlign w:val="center"/>
          </w:tcPr>
          <w:p>
            <w:pPr>
              <w:widowControl/>
              <w:jc w:val="center"/>
              <w:textAlignment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 xml:space="preserve">                          本项目包干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7"/>
            <w:shd w:val="clear" w:color="auto" w:fill="auto"/>
            <w:noWrap/>
            <w:tcMar>
              <w:top w:w="15" w:type="dxa"/>
              <w:left w:w="15" w:type="dxa"/>
              <w:right w:w="15" w:type="dxa"/>
            </w:tcMar>
            <w:vAlign w:val="center"/>
          </w:tcPr>
          <w:p>
            <w:pPr>
              <w:widowControl/>
              <w:textAlignment w:val="center"/>
              <w:rPr>
                <w:rFonts w:ascii="宋体" w:hAnsi="宋体" w:eastAsia="宋体"/>
                <w:color w:val="auto"/>
                <w:kern w:val="0"/>
                <w:szCs w:val="21"/>
                <w:highlight w:val="none"/>
              </w:rPr>
            </w:pPr>
            <w:r>
              <w:rPr>
                <w:rFonts w:hint="eastAsia" w:ascii="宋体" w:hAnsi="宋体" w:eastAsia="宋体"/>
                <w:color w:val="auto"/>
                <w:kern w:val="0"/>
                <w:szCs w:val="21"/>
                <w:highlight w:val="none"/>
              </w:rPr>
              <w:t>供应商承诺：凡询价公告中要求的或是完成本项目必须的费用，均视为已包括在成交金额中。</w:t>
            </w:r>
          </w:p>
        </w:tc>
      </w:tr>
    </w:tbl>
    <w:p>
      <w:pPr>
        <w:widowControl/>
        <w:shd w:val="clear" w:color="auto" w:fill="FFFFFF"/>
        <w:adjustRightInd w:val="0"/>
        <w:snapToGrid w:val="0"/>
        <w:spacing w:line="360" w:lineRule="auto"/>
        <w:ind w:right="240" w:firstLine="360" w:firstLineChars="200"/>
        <w:jc w:val="left"/>
        <w:rPr>
          <w:rFonts w:ascii="宋体" w:hAnsi="宋体" w:eastAsia="宋体"/>
          <w:color w:val="auto"/>
          <w:kern w:val="0"/>
          <w:sz w:val="18"/>
          <w:szCs w:val="18"/>
          <w:highlight w:val="none"/>
        </w:rPr>
      </w:pPr>
      <w:r>
        <w:rPr>
          <w:rFonts w:hint="eastAsia" w:ascii="宋体" w:hAnsi="宋体" w:eastAsia="宋体" w:cs="Times New Roman"/>
          <w:color w:val="auto"/>
          <w:sz w:val="18"/>
          <w:szCs w:val="18"/>
          <w:highlight w:val="none"/>
        </w:rPr>
        <w:t>注：本表报价</w:t>
      </w:r>
      <w:r>
        <w:rPr>
          <w:rFonts w:hint="eastAsia" w:ascii="宋体" w:hAnsi="宋体" w:eastAsia="宋体"/>
          <w:color w:val="auto"/>
          <w:kern w:val="0"/>
          <w:sz w:val="18"/>
          <w:szCs w:val="18"/>
          <w:highlight w:val="none"/>
        </w:rPr>
        <w:t>为成交金额抵扣完专用增值税税额后的金额（税前价），成交金额为询价报价加上专用增值税税额后的金额。</w:t>
      </w:r>
    </w:p>
    <w:p>
      <w:pPr>
        <w:widowControl/>
        <w:shd w:val="clear" w:color="auto" w:fill="FFFFFF"/>
        <w:adjustRightInd w:val="0"/>
        <w:snapToGrid w:val="0"/>
        <w:spacing w:line="360" w:lineRule="auto"/>
        <w:ind w:right="240" w:firstLine="360" w:firstLineChars="200"/>
        <w:jc w:val="left"/>
        <w:rPr>
          <w:rFonts w:ascii="宋体" w:hAnsi="宋体" w:eastAsia="宋体"/>
          <w:color w:val="auto"/>
          <w:kern w:val="0"/>
          <w:sz w:val="18"/>
          <w:szCs w:val="18"/>
          <w:highlight w:val="none"/>
        </w:rPr>
      </w:pPr>
    </w:p>
    <w:p>
      <w:pPr>
        <w:widowControl/>
        <w:shd w:val="clear" w:color="auto" w:fill="FFFFFF"/>
        <w:adjustRightInd w:val="0"/>
        <w:snapToGrid w:val="0"/>
        <w:spacing w:line="360" w:lineRule="auto"/>
        <w:ind w:right="240" w:firstLine="480" w:firstLineChars="200"/>
        <w:jc w:val="righ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供应商名称：</w:t>
      </w:r>
      <w:r>
        <w:rPr>
          <w:rFonts w:hint="eastAsia" w:ascii="宋体" w:hAnsi="宋体" w:eastAsia="宋体"/>
          <w:color w:val="auto"/>
          <w:kern w:val="0"/>
          <w:sz w:val="24"/>
          <w:szCs w:val="24"/>
          <w:highlight w:val="none"/>
          <w:u w:val="single"/>
        </w:rPr>
        <w:t xml:space="preserve"> </w:t>
      </w:r>
      <w:r>
        <w:rPr>
          <w:rFonts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（全称）</w:t>
      </w:r>
    </w:p>
    <w:p>
      <w:pPr>
        <w:widowControl/>
        <w:shd w:val="clear" w:color="auto" w:fill="FFFFFF"/>
        <w:adjustRightInd w:val="0"/>
        <w:snapToGrid w:val="0"/>
        <w:spacing w:line="360" w:lineRule="auto"/>
        <w:ind w:right="240" w:firstLine="480" w:firstLineChars="200"/>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（加盖单位公章）</w:t>
      </w:r>
    </w:p>
    <w:p>
      <w:pPr>
        <w:widowControl/>
        <w:shd w:val="clear" w:color="auto" w:fill="FFFFFF"/>
        <w:adjustRightInd w:val="0"/>
        <w:snapToGrid w:val="0"/>
        <w:spacing w:line="360" w:lineRule="auto"/>
        <w:ind w:right="240" w:firstLine="480" w:firstLineChars="200"/>
        <w:jc w:val="center"/>
        <w:rPr>
          <w:rFonts w:ascii="宋体" w:hAnsi="宋体" w:eastAsia="宋体"/>
          <w:color w:val="auto"/>
          <w:kern w:val="0"/>
          <w:sz w:val="24"/>
          <w:szCs w:val="24"/>
          <w:highlight w:val="none"/>
        </w:rPr>
      </w:pPr>
    </w:p>
    <w:p>
      <w:pPr>
        <w:widowControl/>
        <w:shd w:val="clear" w:color="auto" w:fill="FFFFFF"/>
        <w:adjustRightInd w:val="0"/>
        <w:snapToGrid w:val="0"/>
        <w:spacing w:line="360" w:lineRule="auto"/>
        <w:ind w:right="240" w:firstLine="480" w:firstLineChars="200"/>
        <w:jc w:val="right"/>
        <w:rPr>
          <w:rFonts w:ascii="宋体" w:hAnsi="宋体" w:eastAsia="宋体" w:cs="Times New Roman"/>
          <w:color w:val="auto"/>
          <w:sz w:val="24"/>
          <w:szCs w:val="24"/>
          <w:highlight w:val="none"/>
        </w:rPr>
      </w:pPr>
      <w:r>
        <w:rPr>
          <w:rFonts w:hint="eastAsia" w:ascii="宋体" w:hAnsi="宋体" w:eastAsia="宋体"/>
          <w:color w:val="auto"/>
          <w:kern w:val="0"/>
          <w:sz w:val="24"/>
          <w:szCs w:val="24"/>
          <w:highlight w:val="none"/>
        </w:rPr>
        <w:t xml:space="preserve">年 </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 xml:space="preserve">月 </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日</w:t>
      </w:r>
    </w:p>
    <w:p>
      <w:pPr>
        <w:widowControl/>
        <w:shd w:val="clear" w:color="auto" w:fill="FFFFFF"/>
        <w:adjustRightInd w:val="0"/>
        <w:snapToGrid w:val="0"/>
        <w:spacing w:line="360" w:lineRule="auto"/>
        <w:ind w:firstLine="480" w:firstLineChars="200"/>
        <w:jc w:val="right"/>
        <w:rPr>
          <w:rFonts w:ascii="宋体" w:hAnsi="宋体" w:eastAsia="宋体" w:cs="Times New Roman"/>
          <w:color w:val="auto"/>
          <w:sz w:val="24"/>
          <w:szCs w:val="24"/>
          <w:highlight w:val="none"/>
        </w:rPr>
      </w:pPr>
    </w:p>
    <w:p>
      <w:pPr>
        <w:widowControl/>
        <w:jc w:val="left"/>
        <w:rPr>
          <w:rFonts w:ascii="宋体" w:hAnsi="宋体" w:eastAsia="宋体"/>
          <w:b/>
          <w:bCs/>
          <w:color w:val="auto"/>
          <w:kern w:val="0"/>
          <w:sz w:val="32"/>
          <w:szCs w:val="32"/>
          <w:highlight w:val="none"/>
        </w:rPr>
        <w:sectPr>
          <w:pgSz w:w="11906" w:h="16838"/>
          <w:pgMar w:top="1247" w:right="1191" w:bottom="1191" w:left="1247" w:header="851" w:footer="992" w:gutter="0"/>
          <w:cols w:space="425" w:num="1"/>
          <w:docGrid w:type="lines" w:linePitch="312" w:charSpace="0"/>
        </w:sectPr>
      </w:pPr>
    </w:p>
    <w:p>
      <w:pPr>
        <w:widowControl/>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五、现场查勘记录</w:t>
      </w:r>
    </w:p>
    <w:p>
      <w:pPr>
        <w:widowControl/>
        <w:spacing w:before="156" w:beforeLines="50" w:after="156" w:afterLines="50" w:line="360" w:lineRule="auto"/>
        <w:jc w:val="center"/>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现场查勘记录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3630"/>
        <w:gridCol w:w="1557"/>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项目名称</w:t>
            </w:r>
          </w:p>
        </w:tc>
        <w:tc>
          <w:tcPr>
            <w:tcW w:w="1874"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株洲航电分公司三门撇洪渠水闸安全鉴定项目</w:t>
            </w:r>
          </w:p>
        </w:tc>
        <w:tc>
          <w:tcPr>
            <w:tcW w:w="804"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项目地点</w:t>
            </w:r>
          </w:p>
        </w:tc>
        <w:tc>
          <w:tcPr>
            <w:tcW w:w="1426" w:type="pct"/>
            <w:vAlign w:val="center"/>
          </w:tcPr>
          <w:p>
            <w:pPr>
              <w:jc w:val="center"/>
              <w:rPr>
                <w:rFonts w:ascii="Calibri" w:hAnsi="Calibri"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查勘单位</w:t>
            </w:r>
          </w:p>
        </w:tc>
        <w:tc>
          <w:tcPr>
            <w:tcW w:w="1874" w:type="pct"/>
            <w:vAlign w:val="center"/>
          </w:tcPr>
          <w:p>
            <w:pPr>
              <w:jc w:val="center"/>
              <w:rPr>
                <w:rFonts w:ascii="Calibri" w:hAnsi="Calibri" w:eastAsia="宋体" w:cs="Times New Roman"/>
                <w:color w:val="auto"/>
                <w:kern w:val="0"/>
                <w:sz w:val="24"/>
                <w:szCs w:val="24"/>
                <w:highlight w:val="none"/>
              </w:rPr>
            </w:pPr>
          </w:p>
        </w:tc>
        <w:tc>
          <w:tcPr>
            <w:tcW w:w="804"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查勘单位负责人</w:t>
            </w:r>
          </w:p>
        </w:tc>
        <w:tc>
          <w:tcPr>
            <w:tcW w:w="1426" w:type="pct"/>
            <w:vAlign w:val="center"/>
          </w:tcPr>
          <w:p>
            <w:pPr>
              <w:jc w:val="center"/>
              <w:rPr>
                <w:rFonts w:ascii="Calibri" w:hAnsi="Calibri"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查勘记录人</w:t>
            </w:r>
          </w:p>
        </w:tc>
        <w:tc>
          <w:tcPr>
            <w:tcW w:w="1874" w:type="pct"/>
            <w:vAlign w:val="center"/>
          </w:tcPr>
          <w:p>
            <w:pPr>
              <w:jc w:val="center"/>
              <w:rPr>
                <w:rFonts w:ascii="Calibri" w:hAnsi="Calibri" w:eastAsia="宋体" w:cs="Times New Roman"/>
                <w:color w:val="auto"/>
                <w:kern w:val="0"/>
                <w:sz w:val="24"/>
                <w:szCs w:val="24"/>
                <w:highlight w:val="none"/>
              </w:rPr>
            </w:pPr>
          </w:p>
        </w:tc>
        <w:tc>
          <w:tcPr>
            <w:tcW w:w="804"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查勘时间</w:t>
            </w:r>
          </w:p>
        </w:tc>
        <w:tc>
          <w:tcPr>
            <w:tcW w:w="1426" w:type="pct"/>
            <w:vAlign w:val="center"/>
          </w:tcPr>
          <w:p>
            <w:pPr>
              <w:jc w:val="center"/>
              <w:rPr>
                <w:rFonts w:ascii="Calibri" w:hAnsi="Calibri"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9"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查勘内容</w:t>
            </w:r>
          </w:p>
        </w:tc>
        <w:tc>
          <w:tcPr>
            <w:tcW w:w="4103" w:type="pct"/>
            <w:gridSpan w:val="3"/>
            <w:vAlign w:val="center"/>
          </w:tcPr>
          <w:p>
            <w:pPr>
              <w:jc w:val="center"/>
              <w:rPr>
                <w:rFonts w:ascii="Calibri" w:hAnsi="Calibri" w:eastAsia="宋体" w:cs="Times New Roman"/>
                <w:color w:val="auto"/>
                <w:kern w:val="0"/>
                <w:sz w:val="24"/>
                <w:szCs w:val="24"/>
                <w:highlight w:val="none"/>
              </w:rPr>
            </w:pPr>
          </w:p>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本项目</w:t>
            </w:r>
            <w:r>
              <w:rPr>
                <w:rFonts w:ascii="宋体" w:hAnsi="宋体" w:eastAsia="宋体"/>
                <w:color w:val="auto"/>
                <w:kern w:val="0"/>
                <w:sz w:val="24"/>
                <w:szCs w:val="24"/>
                <w:highlight w:val="none"/>
              </w:rPr>
              <w:t>工作地点、工作内容及</w:t>
            </w:r>
            <w:r>
              <w:rPr>
                <w:rFonts w:hint="eastAsia" w:ascii="宋体" w:hAnsi="宋体" w:eastAsia="宋体"/>
                <w:color w:val="auto"/>
                <w:kern w:val="0"/>
                <w:sz w:val="24"/>
                <w:szCs w:val="24"/>
                <w:highlight w:val="none"/>
              </w:rPr>
              <w:t>具体</w:t>
            </w:r>
            <w:r>
              <w:rPr>
                <w:rFonts w:ascii="宋体" w:hAnsi="宋体" w:eastAsia="宋体"/>
                <w:color w:val="auto"/>
                <w:kern w:val="0"/>
                <w:sz w:val="24"/>
                <w:szCs w:val="24"/>
                <w:highlight w:val="none"/>
              </w:rPr>
              <w:t>工作要求</w:t>
            </w:r>
            <w:r>
              <w:rPr>
                <w:rFonts w:hint="eastAsia" w:ascii="宋体" w:hAnsi="宋体" w:eastAsia="宋体"/>
                <w:color w:val="auto"/>
                <w:kern w:val="0"/>
                <w:sz w:val="24"/>
                <w:szCs w:val="24"/>
                <w:highlight w:val="none"/>
              </w:rPr>
              <w:t>。</w:t>
            </w:r>
          </w:p>
          <w:p>
            <w:pPr>
              <w:jc w:val="center"/>
              <w:rPr>
                <w:rFonts w:ascii="Calibri" w:hAnsi="Calibri"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备注</w:t>
            </w:r>
          </w:p>
        </w:tc>
        <w:tc>
          <w:tcPr>
            <w:tcW w:w="4103" w:type="pct"/>
            <w:gridSpan w:val="3"/>
            <w:vAlign w:val="center"/>
          </w:tcPr>
          <w:p>
            <w:pPr>
              <w:jc w:val="center"/>
              <w:rPr>
                <w:rFonts w:ascii="Calibri" w:hAnsi="Calibri"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97" w:type="pct"/>
            <w:vAlign w:val="center"/>
          </w:tcPr>
          <w:p>
            <w:pPr>
              <w:jc w:val="center"/>
              <w:rPr>
                <w:rFonts w:ascii="Calibri" w:hAnsi="Calibri" w:eastAsia="宋体" w:cs="Times New Roman"/>
                <w:color w:val="auto"/>
                <w:kern w:val="0"/>
                <w:sz w:val="24"/>
                <w:szCs w:val="24"/>
                <w:highlight w:val="none"/>
              </w:rPr>
            </w:pPr>
            <w:r>
              <w:rPr>
                <w:rFonts w:hint="eastAsia" w:ascii="Calibri" w:hAnsi="Calibri" w:eastAsia="宋体" w:cs="Times New Roman"/>
                <w:color w:val="auto"/>
                <w:kern w:val="0"/>
                <w:sz w:val="24"/>
                <w:szCs w:val="24"/>
                <w:highlight w:val="none"/>
              </w:rPr>
              <w:t>建设单位签证</w:t>
            </w:r>
          </w:p>
        </w:tc>
        <w:tc>
          <w:tcPr>
            <w:tcW w:w="4103" w:type="pct"/>
            <w:gridSpan w:val="3"/>
            <w:vAlign w:val="center"/>
          </w:tcPr>
          <w:p>
            <w:pPr>
              <w:jc w:val="center"/>
              <w:rPr>
                <w:rFonts w:ascii="Calibri" w:hAnsi="Calibri" w:eastAsia="宋体" w:cs="Times New Roman"/>
                <w:color w:val="auto"/>
                <w:kern w:val="0"/>
                <w:sz w:val="24"/>
                <w:szCs w:val="24"/>
                <w:highlight w:val="none"/>
              </w:rPr>
            </w:pPr>
          </w:p>
        </w:tc>
      </w:tr>
    </w:tbl>
    <w:p>
      <w:pPr>
        <w:rPr>
          <w:rFonts w:ascii="Calibri" w:hAnsi="Calibri" w:eastAsia="宋体" w:cs="Times New Roman"/>
          <w:color w:val="auto"/>
          <w:sz w:val="28"/>
          <w:szCs w:val="28"/>
          <w:highlight w:val="none"/>
        </w:rPr>
      </w:pPr>
    </w:p>
    <w:p>
      <w:pPr>
        <w:rPr>
          <w:rFonts w:ascii="宋体" w:hAnsi="宋体" w:eastAsia="宋体"/>
          <w:color w:val="auto"/>
          <w:sz w:val="24"/>
          <w:szCs w:val="24"/>
          <w:highlight w:val="none"/>
        </w:rPr>
        <w:sectPr>
          <w:pgSz w:w="11906" w:h="16838"/>
          <w:pgMar w:top="1247" w:right="1191" w:bottom="1191" w:left="1247" w:header="851" w:footer="992" w:gutter="0"/>
          <w:cols w:space="425" w:num="1"/>
          <w:docGrid w:type="lines" w:linePitch="312" w:charSpace="0"/>
        </w:sectPr>
      </w:pPr>
    </w:p>
    <w:p>
      <w:pPr>
        <w:widowControl/>
        <w:jc w:val="left"/>
        <w:rPr>
          <w:rFonts w:ascii="宋体" w:hAnsi="宋体" w:eastAsia="宋体"/>
          <w:b/>
          <w:bCs/>
          <w:color w:val="auto"/>
          <w:kern w:val="0"/>
          <w:sz w:val="32"/>
          <w:szCs w:val="32"/>
          <w:highlight w:val="none"/>
        </w:rPr>
      </w:pPr>
      <w:r>
        <w:rPr>
          <w:rFonts w:hint="eastAsia" w:ascii="宋体" w:hAnsi="宋体" w:eastAsia="宋体"/>
          <w:b/>
          <w:bCs/>
          <w:color w:val="auto"/>
          <w:kern w:val="0"/>
          <w:sz w:val="32"/>
          <w:szCs w:val="32"/>
          <w:highlight w:val="none"/>
        </w:rPr>
        <w:t>附件2</w:t>
      </w:r>
      <w:r>
        <w:rPr>
          <w:rFonts w:ascii="宋体" w:hAnsi="宋体" w:eastAsia="宋体"/>
          <w:b/>
          <w:bCs/>
          <w:color w:val="auto"/>
          <w:kern w:val="0"/>
          <w:sz w:val="32"/>
          <w:szCs w:val="32"/>
          <w:highlight w:val="none"/>
        </w:rPr>
        <w:t xml:space="preserve"> </w:t>
      </w:r>
      <w:r>
        <w:rPr>
          <w:rFonts w:hint="eastAsia" w:ascii="宋体" w:hAnsi="宋体" w:eastAsia="宋体"/>
          <w:b/>
          <w:bCs/>
          <w:color w:val="auto"/>
          <w:kern w:val="0"/>
          <w:sz w:val="32"/>
          <w:szCs w:val="32"/>
          <w:highlight w:val="none"/>
        </w:rPr>
        <w:t>水闸图片</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drawing>
          <wp:inline distT="0" distB="0" distL="0" distR="0">
            <wp:extent cx="5683885" cy="7579360"/>
            <wp:effectExtent l="0" t="0" r="12065" b="2540"/>
            <wp:docPr id="1026" name="图片 2" descr="微信图片_20210721092915"/>
            <wp:cNvGraphicFramePr/>
            <a:graphic xmlns:a="http://schemas.openxmlformats.org/drawingml/2006/main">
              <a:graphicData uri="http://schemas.openxmlformats.org/drawingml/2006/picture">
                <pic:pic xmlns:pic="http://schemas.openxmlformats.org/drawingml/2006/picture">
                  <pic:nvPicPr>
                    <pic:cNvPr id="1026" name="图片 2" descr="微信图片_20210721092915"/>
                    <pic:cNvPicPr/>
                  </pic:nvPicPr>
                  <pic:blipFill>
                    <a:blip r:embed="rId4" cstate="print"/>
                    <a:srcRect/>
                    <a:stretch>
                      <a:fillRect/>
                    </a:stretch>
                  </pic:blipFill>
                  <pic:spPr>
                    <a:xfrm>
                      <a:off x="0" y="0"/>
                      <a:ext cx="5683885" cy="7579360"/>
                    </a:xfrm>
                    <a:prstGeom prst="rect">
                      <a:avLst/>
                    </a:prstGeom>
                  </pic:spPr>
                </pic:pic>
              </a:graphicData>
            </a:graphic>
          </wp:inline>
        </w:drawing>
      </w:r>
      <w:r>
        <w:rPr>
          <w:rFonts w:hint="eastAsia" w:ascii="仿宋_GB2312" w:eastAsia="仿宋_GB2312"/>
          <w:color w:val="auto"/>
          <w:sz w:val="28"/>
          <w:szCs w:val="28"/>
          <w:highlight w:val="none"/>
        </w:rPr>
        <w:drawing>
          <wp:inline distT="0" distB="0" distL="0" distR="0">
            <wp:extent cx="5927725" cy="7904480"/>
            <wp:effectExtent l="0" t="0" r="15875" b="1270"/>
            <wp:docPr id="1027" name="图片 6" descr="微信图片_202107210929155"/>
            <wp:cNvGraphicFramePr/>
            <a:graphic xmlns:a="http://schemas.openxmlformats.org/drawingml/2006/main">
              <a:graphicData uri="http://schemas.openxmlformats.org/drawingml/2006/picture">
                <pic:pic xmlns:pic="http://schemas.openxmlformats.org/drawingml/2006/picture">
                  <pic:nvPicPr>
                    <pic:cNvPr id="1027" name="图片 6" descr="微信图片_202107210929155"/>
                    <pic:cNvPicPr/>
                  </pic:nvPicPr>
                  <pic:blipFill>
                    <a:blip r:embed="rId5" cstate="print"/>
                    <a:srcRect/>
                    <a:stretch>
                      <a:fillRect/>
                    </a:stretch>
                  </pic:blipFill>
                  <pic:spPr>
                    <a:xfrm>
                      <a:off x="0" y="0"/>
                      <a:ext cx="5927725" cy="7904480"/>
                    </a:xfrm>
                    <a:prstGeom prst="rect">
                      <a:avLst/>
                    </a:prstGeom>
                  </pic:spPr>
                </pic:pic>
              </a:graphicData>
            </a:graphic>
          </wp:inline>
        </w:drawing>
      </w:r>
      <w:r>
        <w:rPr>
          <w:rFonts w:hint="eastAsia" w:ascii="仿宋_GB2312" w:eastAsia="仿宋_GB2312"/>
          <w:color w:val="auto"/>
          <w:sz w:val="28"/>
          <w:szCs w:val="28"/>
          <w:highlight w:val="none"/>
        </w:rPr>
        <w:drawing>
          <wp:inline distT="0" distB="0" distL="0" distR="0">
            <wp:extent cx="5266690" cy="3950335"/>
            <wp:effectExtent l="0" t="0" r="10160" b="12065"/>
            <wp:docPr id="1028" name="图片 5" descr="微信图片_202107210929153"/>
            <wp:cNvGraphicFramePr/>
            <a:graphic xmlns:a="http://schemas.openxmlformats.org/drawingml/2006/main">
              <a:graphicData uri="http://schemas.openxmlformats.org/drawingml/2006/picture">
                <pic:pic xmlns:pic="http://schemas.openxmlformats.org/drawingml/2006/picture">
                  <pic:nvPicPr>
                    <pic:cNvPr id="1028" name="图片 5" descr="微信图片_202107210929153"/>
                    <pic:cNvPicPr/>
                  </pic:nvPicPr>
                  <pic:blipFill>
                    <a:blip r:embed="rId6" cstate="print"/>
                    <a:srcRect/>
                    <a:stretch>
                      <a:fillRect/>
                    </a:stretch>
                  </pic:blipFill>
                  <pic:spPr>
                    <a:xfrm>
                      <a:off x="0" y="0"/>
                      <a:ext cx="5266690" cy="3950335"/>
                    </a:xfrm>
                    <a:prstGeom prst="rect">
                      <a:avLst/>
                    </a:prstGeom>
                  </pic:spPr>
                </pic:pic>
              </a:graphicData>
            </a:graphic>
          </wp:inline>
        </w:drawing>
      </w:r>
    </w:p>
    <w:p>
      <w:pPr>
        <w:rPr>
          <w:rFonts w:ascii="仿宋_GB2312" w:eastAsia="仿宋_GB2312"/>
          <w:color w:val="auto"/>
          <w:sz w:val="28"/>
          <w:szCs w:val="28"/>
          <w:highlight w:val="none"/>
        </w:rPr>
      </w:pPr>
    </w:p>
    <w:p>
      <w:pPr>
        <w:rPr>
          <w:rFonts w:ascii="仿宋_GB2312" w:eastAsia="仿宋_GB2312"/>
          <w:color w:val="auto"/>
          <w:sz w:val="28"/>
          <w:szCs w:val="28"/>
          <w:highlight w:val="none"/>
        </w:rPr>
      </w:pPr>
      <w:r>
        <w:rPr>
          <w:rFonts w:hint="eastAsia" w:ascii="仿宋_GB2312" w:eastAsia="仿宋_GB2312"/>
          <w:color w:val="auto"/>
          <w:sz w:val="28"/>
          <w:szCs w:val="28"/>
          <w:highlight w:val="none"/>
        </w:rPr>
        <w:drawing>
          <wp:inline distT="0" distB="0" distL="0" distR="0">
            <wp:extent cx="5266690" cy="3950335"/>
            <wp:effectExtent l="0" t="0" r="10160" b="12065"/>
            <wp:docPr id="1029" name="图片 11" descr="微信图片_2021072109291512"/>
            <wp:cNvGraphicFramePr/>
            <a:graphic xmlns:a="http://schemas.openxmlformats.org/drawingml/2006/main">
              <a:graphicData uri="http://schemas.openxmlformats.org/drawingml/2006/picture">
                <pic:pic xmlns:pic="http://schemas.openxmlformats.org/drawingml/2006/picture">
                  <pic:nvPicPr>
                    <pic:cNvPr id="1029" name="图片 11" descr="微信图片_2021072109291512"/>
                    <pic:cNvPicPr/>
                  </pic:nvPicPr>
                  <pic:blipFill>
                    <a:blip r:embed="rId7" cstate="print"/>
                    <a:srcRect/>
                    <a:stretch>
                      <a:fillRect/>
                    </a:stretch>
                  </pic:blipFill>
                  <pic:spPr>
                    <a:xfrm>
                      <a:off x="0" y="0"/>
                      <a:ext cx="5266690" cy="3950335"/>
                    </a:xfrm>
                    <a:prstGeom prst="rect">
                      <a:avLst/>
                    </a:prstGeom>
                  </pic:spPr>
                </pic:pic>
              </a:graphicData>
            </a:graphic>
          </wp:inline>
        </w:drawing>
      </w:r>
    </w:p>
    <w:p>
      <w:pPr>
        <w:rPr>
          <w:rFonts w:ascii="宋体" w:hAnsi="宋体" w:eastAsia="宋体"/>
          <w:color w:val="auto"/>
          <w:sz w:val="24"/>
          <w:szCs w:val="24"/>
          <w:highlight w:val="none"/>
        </w:rPr>
      </w:pPr>
    </w:p>
    <w:sectPr>
      <w:pgSz w:w="11906" w:h="16838"/>
      <w:pgMar w:top="1247" w:right="1191"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F"/>
    <w:rsid w:val="00077ABF"/>
    <w:rsid w:val="00D61E25"/>
    <w:rsid w:val="0A0A0D94"/>
    <w:rsid w:val="168C54FF"/>
    <w:rsid w:val="579010B2"/>
    <w:rsid w:val="615F1698"/>
    <w:rsid w:val="78FC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99"/>
    <w:pPr>
      <w:jc w:val="left"/>
    </w:pPr>
  </w:style>
  <w:style w:type="paragraph" w:styleId="4">
    <w:name w:val="Plain Text"/>
    <w:basedOn w:val="1"/>
    <w:link w:val="21"/>
    <w:qFormat/>
    <w:uiPriority w:val="0"/>
    <w:pPr>
      <w:spacing w:line="240" w:lineRule="atLeast"/>
      <w:ind w:firstLine="200" w:firstLineChars="200"/>
      <w:jc w:val="left"/>
      <w:outlineLvl w:val="0"/>
    </w:pPr>
    <w:rPr>
      <w:rFonts w:ascii="宋体" w:hAnsi="Courier New" w:cs="Courier New"/>
      <w:sz w:val="28"/>
      <w:szCs w:val="21"/>
    </w:rPr>
  </w:style>
  <w:style w:type="paragraph" w:styleId="5">
    <w:name w:val="Date"/>
    <w:basedOn w:val="1"/>
    <w:next w:val="1"/>
    <w:link w:val="26"/>
    <w:qFormat/>
    <w:uiPriority w:val="99"/>
    <w:pPr>
      <w:ind w:left="100" w:leftChars="2500"/>
    </w:pPr>
  </w:style>
  <w:style w:type="paragraph" w:styleId="6">
    <w:name w:val="Balloon Text"/>
    <w:basedOn w:val="1"/>
    <w:link w:val="18"/>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0">
    <w:name w:val="annotation subject"/>
    <w:basedOn w:val="3"/>
    <w:next w:val="3"/>
    <w:link w:val="20"/>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qFormat/>
    <w:uiPriority w:val="99"/>
    <w:rPr>
      <w:color w:val="0000FF"/>
      <w:u w:val="single"/>
    </w:rPr>
  </w:style>
  <w:style w:type="character" w:styleId="16">
    <w:name w:val="annotation reference"/>
    <w:basedOn w:val="13"/>
    <w:qFormat/>
    <w:uiPriority w:val="99"/>
    <w:rPr>
      <w:sz w:val="21"/>
      <w:szCs w:val="21"/>
    </w:rPr>
  </w:style>
  <w:style w:type="character" w:customStyle="1" w:styleId="17">
    <w:name w:val="标题 2 字符"/>
    <w:basedOn w:val="13"/>
    <w:link w:val="2"/>
    <w:qFormat/>
    <w:uiPriority w:val="9"/>
    <w:rPr>
      <w:rFonts w:ascii="宋体" w:hAnsi="宋体" w:eastAsia="宋体" w:cs="宋体"/>
      <w:b/>
      <w:bCs/>
      <w:kern w:val="0"/>
      <w:sz w:val="36"/>
      <w:szCs w:val="36"/>
    </w:rPr>
  </w:style>
  <w:style w:type="character" w:customStyle="1" w:styleId="18">
    <w:name w:val="批注框文本 字符"/>
    <w:basedOn w:val="13"/>
    <w:link w:val="6"/>
    <w:qFormat/>
    <w:uiPriority w:val="99"/>
    <w:rPr>
      <w:sz w:val="18"/>
      <w:szCs w:val="18"/>
    </w:rPr>
  </w:style>
  <w:style w:type="character" w:customStyle="1" w:styleId="19">
    <w:name w:val="批注文字 字符"/>
    <w:basedOn w:val="13"/>
    <w:link w:val="3"/>
    <w:qFormat/>
    <w:uiPriority w:val="99"/>
  </w:style>
  <w:style w:type="character" w:customStyle="1" w:styleId="20">
    <w:name w:val="批注主题 字符"/>
    <w:basedOn w:val="19"/>
    <w:link w:val="10"/>
    <w:qFormat/>
    <w:uiPriority w:val="99"/>
    <w:rPr>
      <w:b/>
      <w:bCs/>
    </w:rPr>
  </w:style>
  <w:style w:type="character" w:customStyle="1" w:styleId="21">
    <w:name w:val="纯文本 字符"/>
    <w:link w:val="4"/>
    <w:qFormat/>
    <w:uiPriority w:val="0"/>
    <w:rPr>
      <w:rFonts w:ascii="宋体" w:hAnsi="Courier New" w:cs="Courier New"/>
      <w:sz w:val="28"/>
      <w:szCs w:val="21"/>
    </w:rPr>
  </w:style>
  <w:style w:type="character" w:customStyle="1" w:styleId="22">
    <w:name w:val="纯文本 字符1"/>
    <w:basedOn w:val="13"/>
    <w:qFormat/>
    <w:uiPriority w:val="99"/>
    <w:rPr>
      <w:rFonts w:ascii="等线" w:hAnsi="Courier New" w:cs="Courier New"/>
    </w:rPr>
  </w:style>
  <w:style w:type="character" w:customStyle="1" w:styleId="23">
    <w:name w:val="页眉 字符"/>
    <w:basedOn w:val="13"/>
    <w:link w:val="8"/>
    <w:qFormat/>
    <w:uiPriority w:val="99"/>
    <w:rPr>
      <w:kern w:val="2"/>
      <w:sz w:val="18"/>
      <w:szCs w:val="18"/>
    </w:rPr>
  </w:style>
  <w:style w:type="character" w:customStyle="1" w:styleId="24">
    <w:name w:val="页脚 字符"/>
    <w:basedOn w:val="13"/>
    <w:link w:val="7"/>
    <w:qFormat/>
    <w:uiPriority w:val="99"/>
    <w:rPr>
      <w:kern w:val="2"/>
      <w:sz w:val="18"/>
      <w:szCs w:val="18"/>
    </w:rPr>
  </w:style>
  <w:style w:type="paragraph" w:customStyle="1" w:styleId="25">
    <w:name w:val="Table Paragraph"/>
    <w:basedOn w:val="1"/>
    <w:qFormat/>
    <w:uiPriority w:val="1"/>
    <w:rPr>
      <w:rFonts w:ascii="宋体" w:hAnsi="宋体" w:eastAsia="宋体"/>
      <w:lang w:val="zh-CN" w:bidi="zh-CN"/>
    </w:rPr>
  </w:style>
  <w:style w:type="character" w:customStyle="1" w:styleId="26">
    <w:name w:val="日期 字符"/>
    <w:basedOn w:val="13"/>
    <w:link w:val="5"/>
    <w:qFormat/>
    <w:uiPriority w:val="99"/>
    <w:rPr>
      <w:rFonts w:ascii="等线" w:hAnsi="等线" w:eastAsia="等线" w:cs="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865</Words>
  <Characters>4936</Characters>
  <Lines>41</Lines>
  <Paragraphs>11</Paragraphs>
  <TotalTime>129</TotalTime>
  <ScaleCrop>false</ScaleCrop>
  <LinksUpToDate>false</LinksUpToDate>
  <CharactersWithSpaces>5790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2021-04-16T02:25:00Z</dcterms:created>
  <dc:creator>lf</dc:creator>
  <cp:lastModifiedBy>Administrator</cp:lastModifiedBy>
  <dcterms:modified xsi:type="dcterms:W3CDTF">2021-08-24T07:22:45Z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33EE9C09CD6146FF9F70A1D9CE53222D</vt:lpwstr>
  </property>
</Properties>
</file>