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7BF66">
      <w:pPr>
        <w:pStyle w:val="3"/>
        <w:pageBreakBefore w:val="0"/>
        <w:widowControl w:val="0"/>
        <w:kinsoku/>
        <w:wordWrap/>
        <w:overflowPunct/>
        <w:topLinePunct w:val="0"/>
        <w:autoSpaceDE/>
        <w:autoSpaceDN/>
        <w:bidi w:val="0"/>
        <w:adjustRightInd/>
        <w:spacing w:before="0" w:after="0" w:line="360" w:lineRule="auto"/>
        <w:textAlignment w:val="auto"/>
        <w:rPr>
          <w:rFonts w:hint="eastAsia" w:ascii="宋体" w:hAnsi="宋体" w:eastAsia="宋体" w:cs="宋体"/>
          <w:b/>
          <w:bCs/>
          <w:color w:val="000000"/>
          <w:sz w:val="21"/>
          <w:szCs w:val="21"/>
          <w:lang w:val="en-US" w:eastAsia="zh-CN"/>
        </w:rPr>
      </w:pPr>
      <w:bookmarkStart w:id="0" w:name="_Toc24739"/>
      <w:bookmarkStart w:id="1" w:name="_Toc359"/>
      <w:bookmarkStart w:id="2" w:name="_Toc3824"/>
      <w:bookmarkStart w:id="3" w:name="_Toc18241"/>
      <w:bookmarkStart w:id="4" w:name="_Toc822"/>
      <w:r>
        <w:rPr>
          <w:rFonts w:hint="eastAsia" w:ascii="宋体" w:hAnsi="宋体" w:eastAsia="宋体" w:cs="宋体"/>
          <w:b/>
          <w:bCs/>
          <w:color w:val="000000"/>
          <w:sz w:val="21"/>
          <w:szCs w:val="21"/>
          <w:lang w:val="en-US" w:eastAsia="zh-CN"/>
        </w:rPr>
        <w:t>附件2、《衡碱项目EPC/EPCC合格设备、材料生产商/品牌公开征集设备制造商的基本资格及技术要求》</w:t>
      </w:r>
      <w:bookmarkEnd w:id="0"/>
      <w:bookmarkEnd w:id="1"/>
      <w:bookmarkEnd w:id="2"/>
      <w:bookmarkEnd w:id="3"/>
      <w:bookmarkEnd w:id="4"/>
    </w:p>
    <w:p w14:paraId="55E4C5FD">
      <w:pPr>
        <w:pStyle w:val="4"/>
        <w:keepNext w:val="0"/>
        <w:keepLines w:val="0"/>
        <w:pageBreakBefore w:val="0"/>
        <w:widowControl/>
        <w:kinsoku/>
        <w:wordWrap/>
        <w:overflowPunct/>
        <w:topLinePunct w:val="0"/>
        <w:autoSpaceDE/>
        <w:autoSpaceDN/>
        <w:bidi w:val="0"/>
        <w:adjustRightInd/>
        <w:snapToGrid/>
        <w:spacing w:before="154" w:beforeLines="50" w:after="154" w:afterLines="50"/>
        <w:jc w:val="center"/>
        <w:textAlignment w:val="auto"/>
        <w:rPr>
          <w:rFonts w:hint="eastAsia" w:ascii="宋体" w:hAnsi="宋体" w:eastAsia="宋体" w:cs="宋体"/>
          <w:sz w:val="21"/>
          <w:szCs w:val="21"/>
          <w:lang w:val="en-US" w:eastAsia="zh-CN"/>
        </w:rPr>
      </w:pPr>
      <w:bookmarkStart w:id="5" w:name="_Toc24213"/>
      <w:bookmarkStart w:id="6" w:name="_Toc269"/>
      <w:r>
        <w:rPr>
          <w:rFonts w:hint="eastAsia" w:ascii="宋体" w:hAnsi="宋体" w:eastAsia="宋体" w:cs="宋体"/>
          <w:sz w:val="21"/>
          <w:szCs w:val="21"/>
          <w:lang w:val="en-US" w:eastAsia="zh-CN"/>
        </w:rPr>
        <w:t>第7标段：土建标段设备</w:t>
      </w:r>
      <w:bookmarkEnd w:id="5"/>
      <w:bookmarkEnd w:id="6"/>
    </w:p>
    <w:tbl>
      <w:tblPr>
        <w:tblStyle w:val="7"/>
        <w:tblW w:w="142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045"/>
        <w:gridCol w:w="2184"/>
        <w:gridCol w:w="3696"/>
        <w:gridCol w:w="6629"/>
      </w:tblGrid>
      <w:tr w14:paraId="020D99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5E5EAF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18"/>
                <w:szCs w:val="18"/>
                <w:highlight w:val="none"/>
                <w:vertAlign w:val="baseline"/>
              </w:rPr>
            </w:pPr>
            <w:r>
              <w:rPr>
                <w:rFonts w:hint="eastAsia" w:ascii="宋体" w:hAnsi="宋体" w:eastAsia="宋体" w:cs="宋体"/>
                <w:b/>
                <w:bCs/>
                <w:color w:val="auto"/>
                <w:sz w:val="18"/>
                <w:szCs w:val="18"/>
                <w:highlight w:val="none"/>
                <w:vertAlign w:val="baseline"/>
                <w:lang w:val="en-US" w:eastAsia="zh-CN"/>
              </w:rPr>
              <w:t>包号</w:t>
            </w:r>
          </w:p>
        </w:tc>
        <w:tc>
          <w:tcPr>
            <w:tcW w:w="1045" w:type="dxa"/>
            <w:tcBorders>
              <w:tl2br w:val="nil"/>
              <w:tr2bl w:val="nil"/>
            </w:tcBorders>
            <w:noWrap w:val="0"/>
            <w:vAlign w:val="center"/>
          </w:tcPr>
          <w:p w14:paraId="097583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包号名称</w:t>
            </w:r>
          </w:p>
        </w:tc>
        <w:tc>
          <w:tcPr>
            <w:tcW w:w="2184" w:type="dxa"/>
            <w:tcBorders>
              <w:tl2br w:val="nil"/>
              <w:tr2bl w:val="nil"/>
            </w:tcBorders>
            <w:noWrap w:val="0"/>
            <w:vAlign w:val="center"/>
          </w:tcPr>
          <w:p w14:paraId="784FB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包内所含设备（或材料）</w:t>
            </w:r>
          </w:p>
        </w:tc>
        <w:tc>
          <w:tcPr>
            <w:tcW w:w="3696" w:type="dxa"/>
            <w:tcBorders>
              <w:tl2br w:val="nil"/>
              <w:tr2bl w:val="nil"/>
            </w:tcBorders>
            <w:noWrap w:val="0"/>
            <w:vAlign w:val="center"/>
          </w:tcPr>
          <w:p w14:paraId="63486F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lang w:val="en-US" w:eastAsia="zh-CN"/>
              </w:rPr>
              <w:t>特定资格、业绩（必须为中国境内的供货业绩）等基本资格要求</w:t>
            </w:r>
          </w:p>
        </w:tc>
        <w:tc>
          <w:tcPr>
            <w:tcW w:w="6629" w:type="dxa"/>
            <w:tcBorders>
              <w:tl2br w:val="nil"/>
              <w:tr2bl w:val="nil"/>
            </w:tcBorders>
            <w:noWrap w:val="0"/>
            <w:vAlign w:val="center"/>
          </w:tcPr>
          <w:p w14:paraId="1F655D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18"/>
                <w:szCs w:val="18"/>
                <w:highlight w:val="none"/>
                <w:vertAlign w:val="baseline"/>
              </w:rPr>
            </w:pPr>
            <w:r>
              <w:rPr>
                <w:rFonts w:hint="eastAsia" w:ascii="宋体" w:hAnsi="宋体" w:eastAsia="宋体" w:cs="宋体"/>
                <w:b/>
                <w:bCs/>
                <w:strike w:val="0"/>
                <w:dstrike w:val="0"/>
                <w:color w:val="auto"/>
                <w:sz w:val="18"/>
                <w:szCs w:val="18"/>
                <w:highlight w:val="none"/>
                <w:vertAlign w:val="baseline"/>
                <w:lang w:val="en-US" w:eastAsia="zh-CN"/>
              </w:rPr>
              <w:t>技术要求</w:t>
            </w:r>
          </w:p>
        </w:tc>
      </w:tr>
      <w:tr w14:paraId="5A20D3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1B792FED">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包1</w:t>
            </w:r>
          </w:p>
        </w:tc>
        <w:tc>
          <w:tcPr>
            <w:tcW w:w="1045" w:type="dxa"/>
            <w:tcBorders>
              <w:tl2br w:val="nil"/>
              <w:tr2bl w:val="nil"/>
            </w:tcBorders>
            <w:noWrap w:val="0"/>
            <w:vAlign w:val="center"/>
          </w:tcPr>
          <w:p w14:paraId="0407C138">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空调（挂式、柜式）</w:t>
            </w:r>
          </w:p>
        </w:tc>
        <w:tc>
          <w:tcPr>
            <w:tcW w:w="2184" w:type="dxa"/>
            <w:tcBorders>
              <w:tl2br w:val="nil"/>
              <w:tr2bl w:val="nil"/>
            </w:tcBorders>
            <w:noWrap w:val="0"/>
            <w:vAlign w:val="center"/>
          </w:tcPr>
          <w:p w14:paraId="1615BFA5">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w:t>
            </w:r>
          </w:p>
        </w:tc>
        <w:tc>
          <w:tcPr>
            <w:tcW w:w="3696" w:type="dxa"/>
            <w:tcBorders>
              <w:tl2br w:val="nil"/>
              <w:tr2bl w:val="nil"/>
            </w:tcBorders>
            <w:noWrap w:val="0"/>
            <w:vAlign w:val="center"/>
          </w:tcPr>
          <w:p w14:paraId="271AD65B">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2.1、承担过1个工业项目或公共建筑项目的空调（挂式、立式）供货业绩。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3、本项目接受：制造商的投标和代理商的投标（如允许代理商投标的，一个制造商仅能委托一个代理商参加投标）。</w:t>
            </w:r>
          </w:p>
        </w:tc>
        <w:tc>
          <w:tcPr>
            <w:tcW w:w="6629" w:type="dxa"/>
            <w:tcBorders>
              <w:tl2br w:val="nil"/>
              <w:tr2bl w:val="nil"/>
            </w:tcBorders>
            <w:noWrap w:val="0"/>
            <w:vAlign w:val="center"/>
          </w:tcPr>
          <w:p w14:paraId="3BA28D4F">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1、基本功能要求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能效标准：符合国家GB 21455-2019《房间空气调节器能效限定值及能效等级》能效标准，挂式能效等级不低于一级（APF≥5.0），立式不低于一级（APF≥4.5）。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制冷/制热能力：挂式适用面积15-25㎡，制冷量≥3.5kW；立式适用面积30-50㎡，制冷量≥7.1kW，制热效率COP≥3.5。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静音运行：挂式室内机噪音≤40dB(A)，立式≤48dB(A)；室外机符合GB/T 7725-2022噪声规范。</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2、智能与健康功能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支持Wi-Fi/APP远程控制及集中管理接口；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配备PM2.5过滤（效率≥90%）、抗菌滤网（符合GB 21551.6-2010）及自动除湿；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具备自清洁功能，蒸发器高温杀菌≥56℃/30分钟。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3、安全与维护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符合GB 4706.1电气安全标准，具备电压保护（170V-265V）、漏电断路功能；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外机防护等级IPX4，适应-15℃~50℃环境；滤网可拆卸清洗，检修口预留标准尺寸。</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4、认证要求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需提供CCC认证、节能认证及第三方检测报告（含性能、噪音、能效数据）。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5、参考格力、海尔、美的等同档次或更高档次品牌。以上参考同档次或高于所列品牌技术标准的材料选择。不具有指定或唯一的意思表示。</w:t>
            </w:r>
          </w:p>
        </w:tc>
      </w:tr>
      <w:tr w14:paraId="6E6936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5DC2AF4C">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包2</w:t>
            </w:r>
          </w:p>
        </w:tc>
        <w:tc>
          <w:tcPr>
            <w:tcW w:w="1045" w:type="dxa"/>
            <w:tcBorders>
              <w:tl2br w:val="nil"/>
              <w:tr2bl w:val="nil"/>
            </w:tcBorders>
            <w:noWrap w:val="0"/>
            <w:vAlign w:val="center"/>
          </w:tcPr>
          <w:p w14:paraId="0B6F3A5C">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电梯（厂前区）</w:t>
            </w:r>
          </w:p>
        </w:tc>
        <w:tc>
          <w:tcPr>
            <w:tcW w:w="2184" w:type="dxa"/>
            <w:tcBorders>
              <w:tl2br w:val="nil"/>
              <w:tr2bl w:val="nil"/>
            </w:tcBorders>
            <w:noWrap w:val="0"/>
            <w:vAlign w:val="center"/>
          </w:tcPr>
          <w:p w14:paraId="14788DFC">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w:t>
            </w:r>
          </w:p>
        </w:tc>
        <w:tc>
          <w:tcPr>
            <w:tcW w:w="3696" w:type="dxa"/>
            <w:tcBorders>
              <w:tl2br w:val="nil"/>
              <w:tr2bl w:val="nil"/>
            </w:tcBorders>
            <w:noWrap w:val="0"/>
            <w:vAlign w:val="center"/>
          </w:tcPr>
          <w:p w14:paraId="79466A2B">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2.1、承担过1个工业项目或公共建筑项目的电梯供货业绩。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3、本项目接受：制造商的投标和代理商的投标（如允许代理商投标的，一个制造商仅能委托一个代理商参加投标）。</w:t>
            </w:r>
          </w:p>
        </w:tc>
        <w:tc>
          <w:tcPr>
            <w:tcW w:w="6629" w:type="dxa"/>
            <w:tcBorders>
              <w:tl2br w:val="nil"/>
              <w:tr2bl w:val="nil"/>
            </w:tcBorders>
            <w:noWrap w:val="0"/>
            <w:vAlign w:val="center"/>
          </w:tcPr>
          <w:p w14:paraId="69580C33">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1、基本参数与规范</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电梯应采用载重量≥1000kg（客梯）/1600kg（消防梯），速度1.5~2.5m/s（根据楼层高度确定），停靠层数覆盖建筑全部楼层。电梯数量需满足高峰时段人流需求，并配置至少1台消防电梯。设计制造需符合《电梯制造与安装安全规范》（GB 7588-2003）及《电梯技术条件》（GB/T 10058-2023）。</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2、安全与性能要求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安全系统：配备双制动器、限速器-安全钳联动装置、应急照明及五方对讲系统，符合《电梯安全要求第1部分：电梯基本安全要求》（GB 21240-2020）。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运行性能：垂直振动≤15cm/s²，噪音≤55dB（A），平层精度±5mm，门机系统需防夹保护并具备光幕感应功能。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消防电梯：满足《建筑设计防火规范》（GB 50016-2014），配置独立电源、防火层门及消防迫降功能。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3、配置与功能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轿厢及门板采用优质不锈钢或镀锌钢板，层门带防撞加强筋；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控制系统：32位微机控制，支持群控智能调度，配备液晶显示、盲文按钮及语音报站功能；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无障碍设计：至少1台电梯符合《无障碍设计规范》（GB 50763-2012），设置镜面、扶手及低位操作面板。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4、节能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曳引机需为永磁同步无齿轮型，能效等级达GB/T 30559-2014 1级标准，配备LED照明及待机休眠功能。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5、维保服务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制造商需提供免费质保，24小时应急响应，备件供应周期≤48小时，每月例行保养并提交报告。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6、参考日立、三菱、蒂升等同档次或更高档次品牌。以上参考同档次或高于所列品牌技术标准的材料选择。不具有指定或唯一的意思表示。</w:t>
            </w:r>
          </w:p>
        </w:tc>
      </w:tr>
      <w:tr w14:paraId="5B3CFA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24BA1B00">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包3</w:t>
            </w:r>
          </w:p>
        </w:tc>
        <w:tc>
          <w:tcPr>
            <w:tcW w:w="1045" w:type="dxa"/>
            <w:tcBorders>
              <w:tl2br w:val="nil"/>
              <w:tr2bl w:val="nil"/>
            </w:tcBorders>
            <w:noWrap w:val="0"/>
            <w:vAlign w:val="center"/>
          </w:tcPr>
          <w:p w14:paraId="7F7C6B9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瓷砖</w:t>
            </w:r>
          </w:p>
        </w:tc>
        <w:tc>
          <w:tcPr>
            <w:tcW w:w="2184" w:type="dxa"/>
            <w:tcBorders>
              <w:tl2br w:val="nil"/>
              <w:tr2bl w:val="nil"/>
            </w:tcBorders>
            <w:noWrap w:val="0"/>
            <w:vAlign w:val="center"/>
          </w:tcPr>
          <w:p w14:paraId="4CA4B1F0">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w:t>
            </w:r>
          </w:p>
        </w:tc>
        <w:tc>
          <w:tcPr>
            <w:tcW w:w="3696" w:type="dxa"/>
            <w:tcBorders>
              <w:tl2br w:val="nil"/>
              <w:tr2bl w:val="nil"/>
            </w:tcBorders>
            <w:noWrap w:val="0"/>
            <w:vAlign w:val="center"/>
          </w:tcPr>
          <w:p w14:paraId="77A7FC44">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2.1、承担过1个工业项目或公共建筑项目的瓷砖供货业绩。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3、本项目接受：制造商的投标和代理商的投标（如允许代理商投标的，一个制造商仅能委托一个代理商参加投标）。</w:t>
            </w:r>
          </w:p>
        </w:tc>
        <w:tc>
          <w:tcPr>
            <w:tcW w:w="6629" w:type="dxa"/>
            <w:tcBorders>
              <w:tl2br w:val="nil"/>
              <w:tr2bl w:val="nil"/>
            </w:tcBorders>
            <w:noWrap w:val="0"/>
            <w:vAlign w:val="center"/>
          </w:tcPr>
          <w:p w14:paraId="229173C1">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1、耐化学腐蚀性：在5%硫酸、氢氧化钠溶液中浸泡168小时后，表面无变色、起泡或脱落，质量变化率≤±3%；</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耐磨性：卫生间地面瓷砖耐磨转数≥6000转（依据GB/T 4100-2015标准）、卫生间墙面瓷砖3级1500转；</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摩擦系数、吸水率、平整度、断裂模数、光度等指标达到规范优等标准。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2、环保级别：A级；抗冻性、抗折强度、尺寸偏差等指标达到规范优等标准；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3、表面质量：无裂纹、缺釉、斑点，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4、放射性核素限量符合GB 6566-2010 A类标准，确保室内使用安全；釉面砖通过GB/T 13478抗化学腐蚀试验，确保耐酸碱性。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5、 参考东鹏、马可波罗、蒙娜丽莎等同档次或更高档次品牌。以上参考同档次或高于所列品牌技术标准的材料选择。不具有指定或唯一的意思表示。                         </w:t>
            </w:r>
          </w:p>
        </w:tc>
      </w:tr>
      <w:tr w14:paraId="668A9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62C2534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包4</w:t>
            </w:r>
          </w:p>
        </w:tc>
        <w:tc>
          <w:tcPr>
            <w:tcW w:w="1045" w:type="dxa"/>
            <w:tcBorders>
              <w:tl2br w:val="nil"/>
              <w:tr2bl w:val="nil"/>
            </w:tcBorders>
            <w:noWrap w:val="0"/>
            <w:vAlign w:val="center"/>
          </w:tcPr>
          <w:p w14:paraId="1CEDF23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卫具</w:t>
            </w:r>
          </w:p>
        </w:tc>
        <w:tc>
          <w:tcPr>
            <w:tcW w:w="2184" w:type="dxa"/>
            <w:tcBorders>
              <w:tl2br w:val="nil"/>
              <w:tr2bl w:val="nil"/>
            </w:tcBorders>
            <w:noWrap w:val="0"/>
            <w:vAlign w:val="center"/>
          </w:tcPr>
          <w:p w14:paraId="22C3082A">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w:t>
            </w:r>
          </w:p>
        </w:tc>
        <w:tc>
          <w:tcPr>
            <w:tcW w:w="3696" w:type="dxa"/>
            <w:tcBorders>
              <w:tl2br w:val="nil"/>
              <w:tr2bl w:val="nil"/>
            </w:tcBorders>
            <w:noWrap w:val="0"/>
            <w:vAlign w:val="center"/>
          </w:tcPr>
          <w:p w14:paraId="6BE329EC">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2.1、承担过1个工业项目或公共建筑项目的卫具供货业绩。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3、本项目接受：制造商的投标和代理商的投标（如允许代理商投标的，一个制造商仅能委托一个代理商参加投标）。</w:t>
            </w:r>
          </w:p>
        </w:tc>
        <w:tc>
          <w:tcPr>
            <w:tcW w:w="6629" w:type="dxa"/>
            <w:tcBorders>
              <w:tl2br w:val="nil"/>
              <w:tr2bl w:val="nil"/>
            </w:tcBorders>
            <w:noWrap w:val="0"/>
            <w:vAlign w:val="center"/>
          </w:tcPr>
          <w:p w14:paraId="28C872CE">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 xml:space="preserve">1、符合GB/T 6952-2015《卫生陶瓷》要求；符合GB 25501-2019《水嘴水效限定值及水效等级》要求；符合GB 18145-2014《陶瓷片密封水嘴》要求；符合GB 28377-2019《小便器水效限定值及水效等级》要求；符合GB 30717-2019《蹲便器水效限定值及水效等级》要求。                                                                                                                                                           2、陶瓷类（洗手盆、坐便器、小便器）：吸水率≤0.5%，釉面厚度≥0.8mm，表面莫氏硬度≥5级，耐酸碱（5%硫酸/氢氧化钠溶液浸泡48h无腐蚀）。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3、不锈钢类（水槽）：采用304或316L不锈钢，厚度≥1.2mm，焊缝平整无毛刺，耐盐雾试验≥72h无锈蚀。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4.耐化学腐蚀性：表面经5%盐酸、氢氧化钠溶液擦拭后，24h内无褪色、起泡或龟裂。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5、密封性：坐便器水封深度≥50mm，冲水功能符合《便器冲洗装置》（GB/T 26730-2011）标准，单次冲水量≤4L（节水型）；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耐磨性：陶瓷表面经钢丝绒（0000#）摩擦500次后无可见划痕；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抗菌性：陶瓷釉面或不锈钢表面需通过ISO 22196抗菌测试，抗菌率≥99%。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6、参考科勒、TOTO、恒洁等同档次或更高档次品牌。以上参考同档次或高于所列品牌技术标准的材料选择。不具有指定或唯一的意思表示。                                                                                                 </w:t>
            </w:r>
          </w:p>
        </w:tc>
      </w:tr>
      <w:tr w14:paraId="2F12CB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Merge w:val="restart"/>
            <w:tcBorders>
              <w:tl2br w:val="nil"/>
              <w:tr2bl w:val="nil"/>
            </w:tcBorders>
            <w:noWrap w:val="0"/>
            <w:vAlign w:val="center"/>
          </w:tcPr>
          <w:p w14:paraId="1E63E277">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包5</w:t>
            </w:r>
          </w:p>
        </w:tc>
        <w:tc>
          <w:tcPr>
            <w:tcW w:w="1045" w:type="dxa"/>
            <w:vMerge w:val="restart"/>
            <w:tcBorders>
              <w:tl2br w:val="nil"/>
              <w:tr2bl w:val="nil"/>
            </w:tcBorders>
            <w:noWrap w:val="0"/>
            <w:vAlign w:val="center"/>
          </w:tcPr>
          <w:p w14:paraId="78E80FF4">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门类</w:t>
            </w:r>
          </w:p>
        </w:tc>
        <w:tc>
          <w:tcPr>
            <w:tcW w:w="2184" w:type="dxa"/>
            <w:tcBorders>
              <w:tl2br w:val="nil"/>
              <w:tr2bl w:val="nil"/>
            </w:tcBorders>
            <w:noWrap w:val="0"/>
            <w:vAlign w:val="center"/>
          </w:tcPr>
          <w:p w14:paraId="0F990A99">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木门</w:t>
            </w:r>
          </w:p>
        </w:tc>
        <w:tc>
          <w:tcPr>
            <w:tcW w:w="3696" w:type="dxa"/>
            <w:vMerge w:val="restart"/>
            <w:tcBorders>
              <w:tl2br w:val="nil"/>
              <w:tr2bl w:val="nil"/>
            </w:tcBorders>
            <w:noWrap w:val="0"/>
            <w:vAlign w:val="center"/>
          </w:tcPr>
          <w:p w14:paraId="42674F6A">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2.1、承担过1个工业项目或公共建筑项目的相关门类供货业绩。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3、本项目接受：制造商的投标和代理商的投标（如允许代理商投标的，一个制造商仅能委托一个代理商参加投标）。</w:t>
            </w:r>
          </w:p>
        </w:tc>
        <w:tc>
          <w:tcPr>
            <w:tcW w:w="6629" w:type="dxa"/>
            <w:vMerge w:val="restart"/>
            <w:tcBorders>
              <w:tl2br w:val="nil"/>
              <w:tr2bl w:val="nil"/>
            </w:tcBorders>
            <w:noWrap w:val="0"/>
            <w:vAlign w:val="center"/>
          </w:tcPr>
          <w:p w14:paraId="5591BC2D">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1、钢质门及防火平开门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1）、钢质门门框材质：不小于1.5mm厚镀锌钢板；钢质门门扇材质：不小于1.0mm厚镀锌钢板；钢质门加固件材质：不小于1.5mm厚钢板，如有螺栓孔厚度不小于3.0mm；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2）、钢质门表面采用静电粉末喷涂烘烤固化工艺（质保15年以上不变色)，不考虑普通喷漆。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3）、五金件（合页、天地销、把手锁具等）均选用不锈钢材质，合页选用厚度≥3.0mm的蝶形不锈钢合页。2100mm高度以上的单门扇需配置3块以上不锈钢合页。锁具五金选用进口品牌或国内一线品牌，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4）、钢板选用国内一线品牌的镀锌钢材，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2、卷帘门及防火卷帘门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1）、复合帘片：选用优质热镀锌钢带，具有很好的耐腐蚀、防锈性能和抗风强度、耐高温。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2）、卷轴镀锌钢厚度≧4.5mm，材料为整体无缝镀锌钢管，套筒滚子链规格不低于12A。</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3）、导轨：厚度（视尺寸规格，采用分体复合制作。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4）、架板为防断链支架板，支架板（主、副板）、轴承座厚度≥8mm，链轮厚度为≥8mm，外球面球轴承、链条选用国内一线品牌。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5）、防火电机系统应与门面积选配相应的电机功率，防火卷门机和控制箱选用经国家消防检测机构检测合格的定型配套产品。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6）、卷帘门表面采用喷涂烘烤固化工艺需选用高质量室外粉末，质保15年以上不变色,</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7）、卷帘门都必须配断链保护装置：电子断链保护装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3、木门采用实木烤漆门 ，五金件采用一线品牌，需符合GB/T29498-2024《木门窗通用技术要求》。</w:t>
            </w:r>
          </w:p>
        </w:tc>
      </w:tr>
      <w:tr w14:paraId="0A11F5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Merge w:val="continue"/>
            <w:tcBorders>
              <w:tl2br w:val="nil"/>
              <w:tr2bl w:val="nil"/>
            </w:tcBorders>
            <w:noWrap w:val="0"/>
            <w:vAlign w:val="center"/>
          </w:tcPr>
          <w:p w14:paraId="3C00EF7D">
            <w:pPr>
              <w:jc w:val="center"/>
              <w:rPr>
                <w:rFonts w:hint="eastAsia" w:ascii="宋体" w:hAnsi="宋体" w:eastAsia="宋体" w:cs="宋体"/>
                <w:color w:val="000000"/>
                <w:sz w:val="18"/>
                <w:szCs w:val="18"/>
                <w:highlight w:val="none"/>
                <w:vertAlign w:val="baseline"/>
                <w:lang w:val="en-US" w:eastAsia="zh-CN"/>
              </w:rPr>
            </w:pPr>
          </w:p>
        </w:tc>
        <w:tc>
          <w:tcPr>
            <w:tcW w:w="1045" w:type="dxa"/>
            <w:vMerge w:val="continue"/>
            <w:tcBorders>
              <w:tl2br w:val="nil"/>
              <w:tr2bl w:val="nil"/>
            </w:tcBorders>
            <w:noWrap w:val="0"/>
            <w:vAlign w:val="center"/>
          </w:tcPr>
          <w:p w14:paraId="40754A17">
            <w:pPr>
              <w:jc w:val="center"/>
              <w:rPr>
                <w:rFonts w:hint="eastAsia" w:ascii="宋体" w:hAnsi="宋体" w:eastAsia="宋体" w:cs="宋体"/>
                <w:color w:val="000000"/>
                <w:sz w:val="18"/>
                <w:szCs w:val="18"/>
                <w:highlight w:val="none"/>
                <w:vertAlign w:val="baseline"/>
              </w:rPr>
            </w:pPr>
          </w:p>
        </w:tc>
        <w:tc>
          <w:tcPr>
            <w:tcW w:w="2184" w:type="dxa"/>
            <w:tcBorders>
              <w:tl2br w:val="nil"/>
              <w:tr2bl w:val="nil"/>
            </w:tcBorders>
            <w:noWrap w:val="0"/>
            <w:vAlign w:val="center"/>
          </w:tcPr>
          <w:p w14:paraId="26851D90">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钢门</w:t>
            </w:r>
          </w:p>
        </w:tc>
        <w:tc>
          <w:tcPr>
            <w:tcW w:w="3696" w:type="dxa"/>
            <w:vMerge w:val="continue"/>
            <w:tcBorders>
              <w:tl2br w:val="nil"/>
              <w:tr2bl w:val="nil"/>
            </w:tcBorders>
            <w:noWrap w:val="0"/>
            <w:vAlign w:val="center"/>
          </w:tcPr>
          <w:p w14:paraId="7FB090FD">
            <w:pPr>
              <w:jc w:val="left"/>
              <w:rPr>
                <w:rFonts w:hint="eastAsia" w:ascii="宋体" w:hAnsi="宋体" w:eastAsia="宋体" w:cs="宋体"/>
                <w:color w:val="000000"/>
                <w:sz w:val="18"/>
                <w:szCs w:val="18"/>
                <w:highlight w:val="none"/>
                <w:vertAlign w:val="baseline"/>
              </w:rPr>
            </w:pPr>
          </w:p>
        </w:tc>
        <w:tc>
          <w:tcPr>
            <w:tcW w:w="6629" w:type="dxa"/>
            <w:vMerge w:val="continue"/>
            <w:tcBorders>
              <w:tl2br w:val="nil"/>
              <w:tr2bl w:val="nil"/>
            </w:tcBorders>
            <w:noWrap w:val="0"/>
            <w:vAlign w:val="center"/>
          </w:tcPr>
          <w:p w14:paraId="40A4AF42">
            <w:pPr>
              <w:jc w:val="left"/>
              <w:rPr>
                <w:rFonts w:hint="eastAsia" w:ascii="宋体" w:hAnsi="宋体" w:eastAsia="宋体" w:cs="宋体"/>
                <w:color w:val="000000"/>
                <w:sz w:val="18"/>
                <w:szCs w:val="18"/>
                <w:highlight w:val="none"/>
                <w:vertAlign w:val="baseline"/>
                <w:lang w:val="en-US"/>
              </w:rPr>
            </w:pPr>
          </w:p>
        </w:tc>
      </w:tr>
      <w:tr w14:paraId="32B31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Merge w:val="continue"/>
            <w:tcBorders>
              <w:tl2br w:val="nil"/>
              <w:tr2bl w:val="nil"/>
            </w:tcBorders>
            <w:noWrap w:val="0"/>
            <w:vAlign w:val="center"/>
          </w:tcPr>
          <w:p w14:paraId="0A1403CE">
            <w:pPr>
              <w:jc w:val="center"/>
              <w:rPr>
                <w:rFonts w:hint="eastAsia" w:ascii="宋体" w:hAnsi="宋体" w:eastAsia="宋体" w:cs="宋体"/>
                <w:color w:val="000000"/>
                <w:sz w:val="18"/>
                <w:szCs w:val="18"/>
                <w:highlight w:val="none"/>
                <w:vertAlign w:val="baseline"/>
                <w:lang w:val="en-US" w:eastAsia="zh-CN"/>
              </w:rPr>
            </w:pPr>
          </w:p>
        </w:tc>
        <w:tc>
          <w:tcPr>
            <w:tcW w:w="1045" w:type="dxa"/>
            <w:vMerge w:val="continue"/>
            <w:tcBorders>
              <w:tl2br w:val="nil"/>
              <w:tr2bl w:val="nil"/>
            </w:tcBorders>
            <w:noWrap w:val="0"/>
            <w:vAlign w:val="center"/>
          </w:tcPr>
          <w:p w14:paraId="197750B7">
            <w:pPr>
              <w:jc w:val="center"/>
              <w:rPr>
                <w:rFonts w:hint="eastAsia" w:ascii="宋体" w:hAnsi="宋体" w:eastAsia="宋体" w:cs="宋体"/>
                <w:color w:val="000000"/>
                <w:sz w:val="18"/>
                <w:szCs w:val="18"/>
                <w:highlight w:val="none"/>
                <w:vertAlign w:val="baseline"/>
              </w:rPr>
            </w:pPr>
          </w:p>
        </w:tc>
        <w:tc>
          <w:tcPr>
            <w:tcW w:w="2184" w:type="dxa"/>
            <w:tcBorders>
              <w:tl2br w:val="nil"/>
              <w:tr2bl w:val="nil"/>
            </w:tcBorders>
            <w:noWrap w:val="0"/>
            <w:vAlign w:val="center"/>
          </w:tcPr>
          <w:p w14:paraId="0D8DC3E0">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卷帘门</w:t>
            </w:r>
          </w:p>
        </w:tc>
        <w:tc>
          <w:tcPr>
            <w:tcW w:w="3696" w:type="dxa"/>
            <w:vMerge w:val="continue"/>
            <w:tcBorders>
              <w:tl2br w:val="nil"/>
              <w:tr2bl w:val="nil"/>
            </w:tcBorders>
            <w:noWrap w:val="0"/>
            <w:vAlign w:val="center"/>
          </w:tcPr>
          <w:p w14:paraId="734F6CA0">
            <w:pPr>
              <w:jc w:val="left"/>
              <w:rPr>
                <w:rFonts w:hint="eastAsia" w:ascii="宋体" w:hAnsi="宋体" w:eastAsia="宋体" w:cs="宋体"/>
                <w:color w:val="000000"/>
                <w:sz w:val="18"/>
                <w:szCs w:val="18"/>
                <w:highlight w:val="none"/>
                <w:vertAlign w:val="baseline"/>
              </w:rPr>
            </w:pPr>
          </w:p>
        </w:tc>
        <w:tc>
          <w:tcPr>
            <w:tcW w:w="6629" w:type="dxa"/>
            <w:vMerge w:val="continue"/>
            <w:tcBorders>
              <w:tl2br w:val="nil"/>
              <w:tr2bl w:val="nil"/>
            </w:tcBorders>
            <w:noWrap w:val="0"/>
            <w:vAlign w:val="center"/>
          </w:tcPr>
          <w:p w14:paraId="708CD598">
            <w:pPr>
              <w:jc w:val="left"/>
              <w:rPr>
                <w:rFonts w:hint="eastAsia" w:ascii="宋体" w:hAnsi="宋体" w:eastAsia="宋体" w:cs="宋体"/>
                <w:color w:val="000000"/>
                <w:sz w:val="18"/>
                <w:szCs w:val="18"/>
                <w:highlight w:val="none"/>
                <w:vertAlign w:val="baseline"/>
                <w:lang w:val="en-US"/>
              </w:rPr>
            </w:pPr>
          </w:p>
        </w:tc>
      </w:tr>
      <w:tr w14:paraId="6DBD7E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Merge w:val="continue"/>
            <w:tcBorders>
              <w:tl2br w:val="nil"/>
              <w:tr2bl w:val="nil"/>
            </w:tcBorders>
            <w:noWrap w:val="0"/>
            <w:vAlign w:val="center"/>
          </w:tcPr>
          <w:p w14:paraId="7083B746">
            <w:pPr>
              <w:jc w:val="center"/>
              <w:rPr>
                <w:rFonts w:hint="eastAsia" w:ascii="宋体" w:hAnsi="宋体" w:eastAsia="宋体" w:cs="宋体"/>
                <w:color w:val="000000"/>
                <w:sz w:val="18"/>
                <w:szCs w:val="18"/>
                <w:highlight w:val="none"/>
                <w:vertAlign w:val="baseline"/>
                <w:lang w:val="en-US" w:eastAsia="zh-CN"/>
              </w:rPr>
            </w:pPr>
          </w:p>
        </w:tc>
        <w:tc>
          <w:tcPr>
            <w:tcW w:w="1045" w:type="dxa"/>
            <w:vMerge w:val="continue"/>
            <w:tcBorders>
              <w:tl2br w:val="nil"/>
              <w:tr2bl w:val="nil"/>
            </w:tcBorders>
            <w:noWrap w:val="0"/>
            <w:vAlign w:val="center"/>
          </w:tcPr>
          <w:p w14:paraId="61D17E06">
            <w:pPr>
              <w:jc w:val="center"/>
              <w:rPr>
                <w:rFonts w:hint="eastAsia" w:ascii="宋体" w:hAnsi="宋体" w:eastAsia="宋体" w:cs="宋体"/>
                <w:color w:val="000000"/>
                <w:sz w:val="18"/>
                <w:szCs w:val="18"/>
                <w:highlight w:val="none"/>
                <w:vertAlign w:val="baseline"/>
              </w:rPr>
            </w:pPr>
          </w:p>
        </w:tc>
        <w:tc>
          <w:tcPr>
            <w:tcW w:w="2184" w:type="dxa"/>
            <w:tcBorders>
              <w:tl2br w:val="nil"/>
              <w:tr2bl w:val="nil"/>
            </w:tcBorders>
            <w:noWrap w:val="0"/>
            <w:vAlign w:val="center"/>
          </w:tcPr>
          <w:p w14:paraId="01733C8C">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防火门</w:t>
            </w:r>
          </w:p>
        </w:tc>
        <w:tc>
          <w:tcPr>
            <w:tcW w:w="3696" w:type="dxa"/>
            <w:vMerge w:val="continue"/>
            <w:tcBorders>
              <w:tl2br w:val="nil"/>
              <w:tr2bl w:val="nil"/>
            </w:tcBorders>
            <w:noWrap w:val="0"/>
            <w:vAlign w:val="center"/>
          </w:tcPr>
          <w:p w14:paraId="7728AF92">
            <w:pPr>
              <w:jc w:val="left"/>
              <w:rPr>
                <w:rFonts w:hint="eastAsia" w:ascii="宋体" w:hAnsi="宋体" w:eastAsia="宋体" w:cs="宋体"/>
                <w:color w:val="000000"/>
                <w:sz w:val="18"/>
                <w:szCs w:val="18"/>
                <w:highlight w:val="none"/>
                <w:vertAlign w:val="baseline"/>
              </w:rPr>
            </w:pPr>
          </w:p>
        </w:tc>
        <w:tc>
          <w:tcPr>
            <w:tcW w:w="6629" w:type="dxa"/>
            <w:vMerge w:val="continue"/>
            <w:tcBorders>
              <w:tl2br w:val="nil"/>
              <w:tr2bl w:val="nil"/>
            </w:tcBorders>
            <w:noWrap w:val="0"/>
            <w:vAlign w:val="center"/>
          </w:tcPr>
          <w:p w14:paraId="2D4B7105">
            <w:pPr>
              <w:jc w:val="left"/>
              <w:rPr>
                <w:rFonts w:hint="eastAsia" w:ascii="宋体" w:hAnsi="宋体" w:eastAsia="宋体" w:cs="宋体"/>
                <w:color w:val="000000"/>
                <w:sz w:val="18"/>
                <w:szCs w:val="18"/>
                <w:highlight w:val="none"/>
                <w:vertAlign w:val="baseline"/>
                <w:lang w:val="en-US"/>
              </w:rPr>
            </w:pPr>
          </w:p>
        </w:tc>
      </w:tr>
      <w:tr w14:paraId="56461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29BFC0D3">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包6</w:t>
            </w:r>
          </w:p>
        </w:tc>
        <w:tc>
          <w:tcPr>
            <w:tcW w:w="1045" w:type="dxa"/>
            <w:tcBorders>
              <w:tl2br w:val="nil"/>
              <w:tr2bl w:val="nil"/>
            </w:tcBorders>
            <w:noWrap w:val="0"/>
            <w:vAlign w:val="center"/>
          </w:tcPr>
          <w:p w14:paraId="2F3885AE">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建筑栏杆</w:t>
            </w:r>
          </w:p>
        </w:tc>
        <w:tc>
          <w:tcPr>
            <w:tcW w:w="2184" w:type="dxa"/>
            <w:tcBorders>
              <w:tl2br w:val="nil"/>
              <w:tr2bl w:val="nil"/>
            </w:tcBorders>
            <w:noWrap w:val="0"/>
            <w:vAlign w:val="center"/>
          </w:tcPr>
          <w:p w14:paraId="115E1CD7">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w:t>
            </w:r>
          </w:p>
        </w:tc>
        <w:tc>
          <w:tcPr>
            <w:tcW w:w="3696" w:type="dxa"/>
            <w:tcBorders>
              <w:tl2br w:val="nil"/>
              <w:tr2bl w:val="nil"/>
            </w:tcBorders>
            <w:noWrap w:val="0"/>
            <w:vAlign w:val="center"/>
          </w:tcPr>
          <w:p w14:paraId="6FAC1245">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2.1、承担过1个工业项目或公共建筑项目的栏杆供货业绩。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3、本项目接受：制造商的投标和代理商的投标（如允许代理商投标的，一个制造商仅能委托一个代理商参加投标）。</w:t>
            </w:r>
          </w:p>
        </w:tc>
        <w:tc>
          <w:tcPr>
            <w:tcW w:w="6629" w:type="dxa"/>
            <w:tcBorders>
              <w:tl2br w:val="nil"/>
              <w:tr2bl w:val="nil"/>
            </w:tcBorders>
            <w:noWrap w:val="0"/>
            <w:vAlign w:val="center"/>
          </w:tcPr>
          <w:p w14:paraId="1B5B2162">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 xml:space="preserve">1、原材料需符合国标要求且为一线品牌。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2、需符合GB4053.3-1993《固定式工业防护栏杆安全技术条件》、《国家建筑标准设计图集22J403-1楼梯 栏杆 栏板(一)》及相关行业规范。并结合工业项目对耐久性和防腐性的特殊要求。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3、本项目采用304及316不锈钢栏杆扶手（高度为1100mm、1200mm）和Q235B碳钢栏杆（高度1100mm、1200mm）；碳钢栏杆防腐采用重防腐油漆防腐，项目的腐蚀环境分类应该定义为C4（高），防腐年限按&gt;15年。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4、不锈钢原材料需符合GB/T 20878-2007《不锈钢和耐热钢牌号及化学成分》、GB/T 1220-2007《不锈钢棒》等规范要求，化学成分及力学性能。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4、原材料需提供材质证明书，包含成分、规格、性能等详细信息。</w:t>
            </w:r>
          </w:p>
        </w:tc>
      </w:tr>
      <w:tr w14:paraId="73BE4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12C3ACB1">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包7</w:t>
            </w:r>
          </w:p>
        </w:tc>
        <w:tc>
          <w:tcPr>
            <w:tcW w:w="1045" w:type="dxa"/>
            <w:tcBorders>
              <w:tl2br w:val="nil"/>
              <w:tr2bl w:val="nil"/>
            </w:tcBorders>
            <w:noWrap w:val="0"/>
            <w:vAlign w:val="center"/>
          </w:tcPr>
          <w:p w14:paraId="6405E0A5">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钢格栅</w:t>
            </w:r>
          </w:p>
        </w:tc>
        <w:tc>
          <w:tcPr>
            <w:tcW w:w="2184" w:type="dxa"/>
            <w:tcBorders>
              <w:tl2br w:val="nil"/>
              <w:tr2bl w:val="nil"/>
            </w:tcBorders>
            <w:noWrap w:val="0"/>
            <w:vAlign w:val="center"/>
          </w:tcPr>
          <w:p w14:paraId="27C2674C">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w:t>
            </w:r>
          </w:p>
        </w:tc>
        <w:tc>
          <w:tcPr>
            <w:tcW w:w="3696" w:type="dxa"/>
            <w:tcBorders>
              <w:tl2br w:val="nil"/>
              <w:tr2bl w:val="nil"/>
            </w:tcBorders>
            <w:noWrap w:val="0"/>
            <w:vAlign w:val="center"/>
          </w:tcPr>
          <w:p w14:paraId="26C69D2E">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2.1、承担过1个煤化工或石油化工项目的钢格栅供货业绩。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3、本项目接受：制造商的投标和代理商的投标（如允许代理商投标的，一个制造商仅能委托一个代理商参加投标）。</w:t>
            </w:r>
          </w:p>
        </w:tc>
        <w:tc>
          <w:tcPr>
            <w:tcW w:w="6629" w:type="dxa"/>
            <w:tcBorders>
              <w:tl2br w:val="nil"/>
              <w:tr2bl w:val="nil"/>
            </w:tcBorders>
            <w:noWrap w:val="0"/>
            <w:vAlign w:val="center"/>
          </w:tcPr>
          <w:p w14:paraId="70002AF6">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1、制造执行技术要求按YB/T4001.1-2019,热浸锌：GB/T13912-2020《金属覆盖层钢铁制件热浸镀锌层技术要求及试验方法》，需提供具有CMA或CNAS的第三方检验机构或国家级检测实验室出具的产品载荷检验合格报告。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2、采用压焊钢格栅板，不接受手工焊接钢格板，承载扁钢的材质不得低于Q235B，应符合GB/T700的相关要求。（扁钢尺寸、厚度及宽度不允许有负偏差。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3、所有钢格栅板必须进行热浸锌处理，热浸锌处理执行GB/T13912的规定。镀锌层表面应平滑、均匀，无滴瘤、粗糙和锌刺，不应有锌渣和锌灰。镀锌层平均厚度≥70μm。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4、踏步板采用带前护板，符合YB/T 4001.3标准；压焊钢格栅板如无特殊要求，均应采用承载扁钢进行包边处理，符合YB/T 4001.1标准。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5、所有原材料均应有材质证明文件；热浸锌处理要提供报告且内容要有基体表面处理等级和镀锌厚度，板的原材料扁钢为一线品牌钢厂生产的热轧扁钢或带钢分条，所有原材料均应有材质证明文件。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热浸锌处理要提供报告且内容要有基体表面处理等级和镀锌厚度。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6、对接焊缝和角焊缝所进行的无损检验应符合《钢结构焊接规范》GB50661 和其它相关的规范。</w:t>
            </w:r>
          </w:p>
        </w:tc>
      </w:tr>
      <w:tr w14:paraId="64A1B4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40753D08">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包8</w:t>
            </w:r>
          </w:p>
        </w:tc>
        <w:tc>
          <w:tcPr>
            <w:tcW w:w="1045" w:type="dxa"/>
            <w:tcBorders>
              <w:tl2br w:val="nil"/>
              <w:tr2bl w:val="nil"/>
            </w:tcBorders>
            <w:noWrap w:val="0"/>
            <w:vAlign w:val="center"/>
          </w:tcPr>
          <w:p w14:paraId="1EF25788">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窗</w:t>
            </w:r>
          </w:p>
        </w:tc>
        <w:tc>
          <w:tcPr>
            <w:tcW w:w="2184" w:type="dxa"/>
            <w:tcBorders>
              <w:tl2br w:val="nil"/>
              <w:tr2bl w:val="nil"/>
            </w:tcBorders>
            <w:noWrap w:val="0"/>
            <w:vAlign w:val="center"/>
          </w:tcPr>
          <w:p w14:paraId="4AD9174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w:t>
            </w:r>
          </w:p>
        </w:tc>
        <w:tc>
          <w:tcPr>
            <w:tcW w:w="3696" w:type="dxa"/>
            <w:tcBorders>
              <w:tl2br w:val="nil"/>
              <w:tr2bl w:val="nil"/>
            </w:tcBorders>
            <w:noWrap w:val="0"/>
            <w:vAlign w:val="center"/>
          </w:tcPr>
          <w:p w14:paraId="5A16A48A">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2.1、承担过1个工业项目或公共建筑项目的窗类供货业绩。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3、本项目接受：制造商的投标和代理商的投标（如允许代理商投标的，一个制造商仅能委托一个代理商参加投标）。</w:t>
            </w:r>
          </w:p>
        </w:tc>
        <w:tc>
          <w:tcPr>
            <w:tcW w:w="6629" w:type="dxa"/>
            <w:tcBorders>
              <w:tl2br w:val="nil"/>
              <w:tr2bl w:val="nil"/>
            </w:tcBorders>
            <w:noWrap w:val="0"/>
            <w:vAlign w:val="center"/>
          </w:tcPr>
          <w:p w14:paraId="59833E55">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b/>
                <w:bCs/>
                <w:i w:val="0"/>
                <w:iCs w:val="0"/>
                <w:color w:val="000000"/>
                <w:kern w:val="0"/>
                <w:sz w:val="18"/>
                <w:szCs w:val="18"/>
                <w:highlight w:val="none"/>
                <w:u w:val="none"/>
                <w:lang w:val="en-US" w:eastAsia="zh-CN" w:bidi="ar"/>
              </w:rPr>
              <w:t xml:space="preserve"> </w:t>
            </w:r>
            <w:r>
              <w:rPr>
                <w:rFonts w:hint="eastAsia" w:ascii="宋体" w:hAnsi="宋体" w:eastAsia="宋体" w:cs="宋体"/>
                <w:i w:val="0"/>
                <w:iCs w:val="0"/>
                <w:color w:val="000000"/>
                <w:kern w:val="0"/>
                <w:sz w:val="18"/>
                <w:szCs w:val="18"/>
                <w:highlight w:val="none"/>
                <w:u w:val="none"/>
                <w:lang w:val="en-US" w:eastAsia="zh-CN" w:bidi="ar"/>
              </w:rPr>
              <w:t xml:space="preserve">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1、符合《GB/T 28886-2023 建筑用塑料门窗》、《铝合金门窗》GB/T8478-2020等相关国家规范要求，型材壁厚、腔室分类达到节能型等级，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2、用于建筑外窗的非白色通体型材的可视面应进行装饰处理，且老化时间符合规范要求；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3、对于平开门窗常用的框扇间的密封用胶条，材料热老化后回弹恢复符合规范要求。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4、性能指标‌：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外窗气密性、水密性、抗风压性等级符合国家《建筑外窗气密、水密、抗风压性能分级及其检测方法》GB/T7106-2008‌；</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5、材料要求‌：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型材壁厚：外窗的铝合金型材壁厚不低于1.6mm‌；表面处理：铝合金型材表面处理层厚度应符合规定，外观表面不应有铝屑、毛刺、油污等缺陷‌；密封条：选用阻燃型三元乙丙胶条。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原材料要求：铝合金、 玻璃、五金件均为一线品牌。       </w:t>
            </w:r>
          </w:p>
        </w:tc>
      </w:tr>
      <w:tr w14:paraId="69CF15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Merge w:val="restart"/>
            <w:tcBorders>
              <w:tl2br w:val="nil"/>
              <w:tr2bl w:val="nil"/>
            </w:tcBorders>
            <w:noWrap w:val="0"/>
            <w:vAlign w:val="center"/>
          </w:tcPr>
          <w:p w14:paraId="349174AD">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包9</w:t>
            </w:r>
          </w:p>
        </w:tc>
        <w:tc>
          <w:tcPr>
            <w:tcW w:w="1045" w:type="dxa"/>
            <w:vMerge w:val="restart"/>
            <w:tcBorders>
              <w:tl2br w:val="nil"/>
              <w:tr2bl w:val="nil"/>
            </w:tcBorders>
            <w:noWrap w:val="0"/>
            <w:vAlign w:val="center"/>
          </w:tcPr>
          <w:p w14:paraId="0D4F35BB">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涂装材料</w:t>
            </w:r>
          </w:p>
        </w:tc>
        <w:tc>
          <w:tcPr>
            <w:tcW w:w="2184" w:type="dxa"/>
            <w:tcBorders>
              <w:tl2br w:val="nil"/>
              <w:tr2bl w:val="nil"/>
            </w:tcBorders>
            <w:noWrap w:val="0"/>
            <w:vAlign w:val="center"/>
          </w:tcPr>
          <w:p w14:paraId="7DE1CB53">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涂料</w:t>
            </w:r>
          </w:p>
        </w:tc>
        <w:tc>
          <w:tcPr>
            <w:tcW w:w="3696" w:type="dxa"/>
            <w:vMerge w:val="restart"/>
            <w:tcBorders>
              <w:tl2br w:val="nil"/>
              <w:tr2bl w:val="nil"/>
            </w:tcBorders>
            <w:noWrap w:val="0"/>
            <w:vAlign w:val="center"/>
          </w:tcPr>
          <w:p w14:paraId="77A5A208">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2.1、承担过1个工业项目或公共建筑项目的涂装材料供货业绩。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3、本项目接受：制造商的投标和代理商的投标（如允许代理商投标的，一个制造商仅能委托一个代理商参加投标）。</w:t>
            </w:r>
          </w:p>
        </w:tc>
        <w:tc>
          <w:tcPr>
            <w:tcW w:w="6629" w:type="dxa"/>
            <w:vMerge w:val="restart"/>
            <w:tcBorders>
              <w:tl2br w:val="nil"/>
              <w:tr2bl w:val="nil"/>
            </w:tcBorders>
            <w:noWrap w:val="0"/>
            <w:vAlign w:val="center"/>
          </w:tcPr>
          <w:p w14:paraId="64A1E590">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一、涂料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1、产品符合国家强制性标准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内墙涂料符合国家GB/T 9756-2018《合成树脂乳液内墙涂料》标准，外墙涂料符合国家GB/T 9755-2014《合成树脂乳液外墙涂料》标准，GB/T 19250-2013《聚氨酯防水涂料》等相关外墙漆涂料要求，具有超强抗紫外线、抗粉化、抗裂纹等功能。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2、产品符合国家相关环保认证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内外墙涂料符合国家GB 18582-2020相关标准并通过绿色标志产品十环认证。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3、质保承诺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内外墙涂料15年质保，在标准施工的前提下确保产品本身15年内不粉化、不脱落、不明显褪色。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二、腻子粉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1、外墙腻子需符合国家JG/T 157-2009《建筑外墙用腻子》等国家标准，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2、内墙腻子需符合国家JG/T 298-2010《建筑室内用腻子》（N型）及（Y型）等国家标准。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三、参考三棵树、湘江、立邦、多乐士等同档次或更高档次品牌。以上参考同档次或高于所列品牌技术标准的材料选择。不具有指定或唯一的意思表示。</w:t>
            </w:r>
          </w:p>
        </w:tc>
      </w:tr>
      <w:tr w14:paraId="47952A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vMerge w:val="continue"/>
            <w:tcBorders>
              <w:tl2br w:val="nil"/>
              <w:tr2bl w:val="nil"/>
            </w:tcBorders>
            <w:noWrap w:val="0"/>
            <w:vAlign w:val="center"/>
          </w:tcPr>
          <w:p w14:paraId="6740616E">
            <w:pPr>
              <w:jc w:val="center"/>
              <w:rPr>
                <w:rFonts w:hint="eastAsia" w:ascii="宋体" w:hAnsi="宋体" w:eastAsia="宋体" w:cs="宋体"/>
                <w:color w:val="000000"/>
                <w:sz w:val="18"/>
                <w:szCs w:val="18"/>
                <w:highlight w:val="none"/>
                <w:vertAlign w:val="baseline"/>
                <w:lang w:val="en-US" w:eastAsia="zh-CN"/>
              </w:rPr>
            </w:pPr>
          </w:p>
        </w:tc>
        <w:tc>
          <w:tcPr>
            <w:tcW w:w="1045" w:type="dxa"/>
            <w:vMerge w:val="continue"/>
            <w:tcBorders>
              <w:tl2br w:val="nil"/>
              <w:tr2bl w:val="nil"/>
            </w:tcBorders>
            <w:noWrap w:val="0"/>
            <w:vAlign w:val="center"/>
          </w:tcPr>
          <w:p w14:paraId="1B0CAE35">
            <w:pPr>
              <w:jc w:val="center"/>
              <w:rPr>
                <w:rFonts w:hint="eastAsia" w:ascii="宋体" w:hAnsi="宋体" w:eastAsia="宋体" w:cs="宋体"/>
                <w:color w:val="000000"/>
                <w:sz w:val="18"/>
                <w:szCs w:val="18"/>
                <w:highlight w:val="none"/>
                <w:vertAlign w:val="baseline"/>
              </w:rPr>
            </w:pPr>
          </w:p>
        </w:tc>
        <w:tc>
          <w:tcPr>
            <w:tcW w:w="2184" w:type="dxa"/>
            <w:tcBorders>
              <w:tl2br w:val="nil"/>
              <w:tr2bl w:val="nil"/>
            </w:tcBorders>
            <w:noWrap w:val="0"/>
            <w:vAlign w:val="center"/>
          </w:tcPr>
          <w:p w14:paraId="0D858C12">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腻子粉</w:t>
            </w:r>
          </w:p>
        </w:tc>
        <w:tc>
          <w:tcPr>
            <w:tcW w:w="3696" w:type="dxa"/>
            <w:vMerge w:val="continue"/>
            <w:tcBorders>
              <w:tl2br w:val="nil"/>
              <w:tr2bl w:val="nil"/>
            </w:tcBorders>
            <w:noWrap w:val="0"/>
            <w:vAlign w:val="center"/>
          </w:tcPr>
          <w:p w14:paraId="536A5735">
            <w:pPr>
              <w:jc w:val="left"/>
              <w:rPr>
                <w:rFonts w:hint="eastAsia" w:ascii="宋体" w:hAnsi="宋体" w:eastAsia="宋体" w:cs="宋体"/>
                <w:color w:val="000000"/>
                <w:sz w:val="18"/>
                <w:szCs w:val="18"/>
                <w:highlight w:val="none"/>
                <w:vertAlign w:val="baseline"/>
              </w:rPr>
            </w:pPr>
          </w:p>
        </w:tc>
        <w:tc>
          <w:tcPr>
            <w:tcW w:w="6629" w:type="dxa"/>
            <w:vMerge w:val="continue"/>
            <w:tcBorders>
              <w:tl2br w:val="nil"/>
              <w:tr2bl w:val="nil"/>
            </w:tcBorders>
            <w:noWrap w:val="0"/>
            <w:vAlign w:val="center"/>
          </w:tcPr>
          <w:p w14:paraId="765E9FBA">
            <w:pPr>
              <w:jc w:val="left"/>
              <w:rPr>
                <w:rFonts w:hint="eastAsia" w:ascii="宋体" w:hAnsi="宋体" w:eastAsia="宋体" w:cs="宋体"/>
                <w:color w:val="000000"/>
                <w:sz w:val="18"/>
                <w:szCs w:val="18"/>
                <w:highlight w:val="none"/>
                <w:vertAlign w:val="baseline"/>
                <w:lang w:val="en-US"/>
              </w:rPr>
            </w:pPr>
          </w:p>
        </w:tc>
      </w:tr>
      <w:tr w14:paraId="5BC2B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tcBorders>
              <w:tl2br w:val="nil"/>
              <w:tr2bl w:val="nil"/>
            </w:tcBorders>
            <w:noWrap w:val="0"/>
            <w:vAlign w:val="center"/>
          </w:tcPr>
          <w:p w14:paraId="5D7C6CD6">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lang w:val="en-US" w:eastAsia="zh-CN"/>
              </w:rPr>
            </w:pPr>
            <w:r>
              <w:rPr>
                <w:rFonts w:hint="eastAsia" w:ascii="宋体" w:hAnsi="宋体" w:eastAsia="宋体" w:cs="宋体"/>
                <w:i w:val="0"/>
                <w:iCs w:val="0"/>
                <w:color w:val="000000"/>
                <w:kern w:val="0"/>
                <w:sz w:val="18"/>
                <w:szCs w:val="18"/>
                <w:highlight w:val="none"/>
                <w:u w:val="none"/>
                <w:lang w:val="en-US" w:eastAsia="zh-CN" w:bidi="ar"/>
              </w:rPr>
              <w:t>包10</w:t>
            </w:r>
          </w:p>
        </w:tc>
        <w:tc>
          <w:tcPr>
            <w:tcW w:w="1045" w:type="dxa"/>
            <w:tcBorders>
              <w:tl2br w:val="nil"/>
              <w:tr2bl w:val="nil"/>
            </w:tcBorders>
            <w:noWrap w:val="0"/>
            <w:vAlign w:val="center"/>
          </w:tcPr>
          <w:p w14:paraId="008ADC33">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防水材料</w:t>
            </w:r>
          </w:p>
        </w:tc>
        <w:tc>
          <w:tcPr>
            <w:tcW w:w="2184" w:type="dxa"/>
            <w:tcBorders>
              <w:tl2br w:val="nil"/>
              <w:tr2bl w:val="nil"/>
            </w:tcBorders>
            <w:noWrap w:val="0"/>
            <w:vAlign w:val="center"/>
          </w:tcPr>
          <w:p w14:paraId="60F0A236">
            <w:pPr>
              <w:keepNext w:val="0"/>
              <w:keepLines w:val="0"/>
              <w:widowControl/>
              <w:suppressLineNumbers w:val="0"/>
              <w:jc w:val="center"/>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w:t>
            </w:r>
          </w:p>
        </w:tc>
        <w:tc>
          <w:tcPr>
            <w:tcW w:w="3696" w:type="dxa"/>
            <w:tcBorders>
              <w:tl2br w:val="nil"/>
              <w:tr2bl w:val="nil"/>
            </w:tcBorders>
            <w:noWrap w:val="0"/>
            <w:vAlign w:val="center"/>
          </w:tcPr>
          <w:p w14:paraId="68F0EBF8">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rPr>
            </w:pPr>
            <w:r>
              <w:rPr>
                <w:rFonts w:hint="eastAsia" w:ascii="宋体" w:hAnsi="宋体" w:eastAsia="宋体" w:cs="宋体"/>
                <w:i w:val="0"/>
                <w:iCs w:val="0"/>
                <w:color w:val="000000"/>
                <w:kern w:val="0"/>
                <w:sz w:val="18"/>
                <w:szCs w:val="18"/>
                <w:highlight w:val="none"/>
                <w:u w:val="none"/>
                <w:lang w:val="en-US" w:eastAsia="zh-CN" w:bidi="ar"/>
              </w:rPr>
              <w:t>1、特定资格要求：/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2、类似业绩资格要求：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2.1、承担过1个工业项目或公共建筑项目的防水材料供货业绩。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类似业绩的考核依据：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提供经甲乙双方盖章后的供货合同(或销售合同)扫描件，合同中需体现上述相关指标，如不能体现上述相关指标的需提供相关证明材料。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类似业绩考核时限：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近五年（2020年5月1日至投标截止时间）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3、本项目接受：制造商的投标和代理商的投标（如允许代理商投标的，一个制造商仅能委托一个代理商参加投标）。</w:t>
            </w:r>
          </w:p>
        </w:tc>
        <w:tc>
          <w:tcPr>
            <w:tcW w:w="6629" w:type="dxa"/>
            <w:tcBorders>
              <w:tl2br w:val="nil"/>
              <w:tr2bl w:val="nil"/>
            </w:tcBorders>
            <w:noWrap w:val="0"/>
            <w:vAlign w:val="center"/>
          </w:tcPr>
          <w:p w14:paraId="1D7C841A">
            <w:pPr>
              <w:keepNext w:val="0"/>
              <w:keepLines w:val="0"/>
              <w:widowControl/>
              <w:suppressLineNumbers w:val="0"/>
              <w:jc w:val="left"/>
              <w:textAlignment w:val="center"/>
              <w:rPr>
                <w:rFonts w:hint="eastAsia" w:ascii="宋体" w:hAnsi="宋体" w:eastAsia="宋体" w:cs="宋体"/>
                <w:color w:val="000000"/>
                <w:sz w:val="18"/>
                <w:szCs w:val="18"/>
                <w:highlight w:val="none"/>
                <w:vertAlign w:val="baseline"/>
                <w:lang w:val="en-US"/>
              </w:rPr>
            </w:pPr>
            <w:r>
              <w:rPr>
                <w:rFonts w:hint="eastAsia" w:ascii="宋体" w:hAnsi="宋体" w:eastAsia="宋体" w:cs="宋体"/>
                <w:i w:val="0"/>
                <w:iCs w:val="0"/>
                <w:color w:val="000000"/>
                <w:kern w:val="0"/>
                <w:sz w:val="18"/>
                <w:szCs w:val="18"/>
                <w:highlight w:val="none"/>
                <w:u w:val="none"/>
                <w:lang w:val="en-US" w:eastAsia="zh-CN" w:bidi="ar"/>
              </w:rPr>
              <w:t xml:space="preserve">1、SBS改性沥青防水卷材：符合GB/T 18242-2008《弹性体改性沥青防水卷材》要求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2、聚合物水泥防水涂料：符合GB/T 23445-2009《聚合物水泥防水涂料》要求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3、聚丙烯丙纶防水卷材：符合GB 18173.1-2012《高分子防水材料 第1部分：片材》要求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4、SBS改性沥青防水卷材、聚合物水泥防水涂料和聚丙烯丙纶防水卷材均需要通过中国环境标志认证（十环认证）。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5、参考东方雨虹、凯伦、科顺等同档次或更高档次品牌。以上参考同档次或高于所列品牌技术标准的材料选择。不具有指定或唯一的意思表示。</w:t>
            </w:r>
          </w:p>
        </w:tc>
      </w:tr>
    </w:tbl>
    <w:p w14:paraId="15F30AD7">
      <w:pPr>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sz w:val="21"/>
          <w:szCs w:val="21"/>
        </w:rPr>
      </w:pPr>
      <w:bookmarkStart w:id="7" w:name="_GoBack"/>
      <w:bookmarkEnd w:id="7"/>
    </w:p>
    <w:sectPr>
      <w:footerReference r:id="rId3"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37166">
    <w:pPr>
      <w:pStyle w:val="5"/>
      <w:ind w:left="210" w:leftChars="100" w:right="210" w:rightChars="100"/>
      <w:jc w:val="right"/>
      <w:rPr>
        <w:rFonts w:hint="eastAsia" w:ascii="宋体" w:hAnsi="宋体" w:eastAsia="宋体" w:cs="Times New Roman"/>
        <w:sz w:val="28"/>
        <w:szCs w:val="28"/>
        <w:lang w:eastAsia="zh-CN"/>
      </w:rPr>
    </w:pPr>
    <w:r>
      <w:rPr>
        <w:rFonts w:ascii="Times New Roman" w:hAnsi="Times New Roman" w:eastAsia="宋体" w:cs="Times New Roman"/>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4BB5042">
                          <w:pPr>
                            <w:pStyle w:val="5"/>
                            <w:ind w:left="210" w:leftChars="100" w:right="210" w:rightChars="100"/>
                            <w:jc w:val="right"/>
                            <w:rPr>
                              <w:rFonts w:ascii="Times New Roman" w:hAnsi="Times New Roman" w:eastAsia="宋体" w:cs="Times New Roman"/>
                            </w:rPr>
                          </w:pPr>
                          <w:r>
                            <w:rPr>
                              <w:rFonts w:hint="eastAsia" w:ascii="宋体" w:hAnsi="宋体" w:eastAsia="宋体" w:cs="Times New Roman"/>
                              <w:sz w:val="28"/>
                              <w:szCs w:val="28"/>
                              <w:lang w:eastAsia="zh-CN"/>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 PAGE   \* MERGEFORMAT </w:instrText>
                          </w:r>
                          <w:r>
                            <w:rPr>
                              <w:rFonts w:ascii="宋体" w:hAnsi="宋体" w:eastAsia="宋体" w:cs="Times New Roman"/>
                              <w:sz w:val="28"/>
                              <w:szCs w:val="28"/>
                            </w:rPr>
                            <w:fldChar w:fldCharType="separate"/>
                          </w:r>
                          <w:r>
                            <w:rPr>
                              <w:rFonts w:ascii="宋体" w:hAnsi="宋体" w:eastAsia="宋体" w:cs="Times New Roman"/>
                              <w:sz w:val="28"/>
                              <w:szCs w:val="28"/>
                              <w:lang w:val="zh-CN"/>
                            </w:rPr>
                            <w:t>21</w:t>
                          </w:r>
                          <w:r>
                            <w:rPr>
                              <w:rFonts w:ascii="宋体" w:hAnsi="宋体" w:eastAsia="宋体" w:cs="Times New Roman"/>
                              <w:sz w:val="28"/>
                              <w:szCs w:val="28"/>
                            </w:rPr>
                            <w:fldChar w:fldCharType="end"/>
                          </w:r>
                          <w:r>
                            <w:rPr>
                              <w:rFonts w:hint="eastAsia" w:ascii="宋体" w:hAnsi="宋体" w:eastAsia="宋体"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4BB5042">
                    <w:pPr>
                      <w:pStyle w:val="5"/>
                      <w:ind w:left="210" w:leftChars="100" w:right="210" w:rightChars="100"/>
                      <w:jc w:val="right"/>
                      <w:rPr>
                        <w:rFonts w:ascii="Times New Roman" w:hAnsi="Times New Roman" w:eastAsia="宋体" w:cs="Times New Roman"/>
                      </w:rPr>
                    </w:pPr>
                    <w:r>
                      <w:rPr>
                        <w:rFonts w:hint="eastAsia" w:ascii="宋体" w:hAnsi="宋体" w:eastAsia="宋体" w:cs="Times New Roman"/>
                        <w:sz w:val="28"/>
                        <w:szCs w:val="28"/>
                        <w:lang w:eastAsia="zh-CN"/>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 PAGE   \* MERGEFORMAT </w:instrText>
                    </w:r>
                    <w:r>
                      <w:rPr>
                        <w:rFonts w:ascii="宋体" w:hAnsi="宋体" w:eastAsia="宋体" w:cs="Times New Roman"/>
                        <w:sz w:val="28"/>
                        <w:szCs w:val="28"/>
                      </w:rPr>
                      <w:fldChar w:fldCharType="separate"/>
                    </w:r>
                    <w:r>
                      <w:rPr>
                        <w:rFonts w:ascii="宋体" w:hAnsi="宋体" w:eastAsia="宋体" w:cs="Times New Roman"/>
                        <w:sz w:val="28"/>
                        <w:szCs w:val="28"/>
                        <w:lang w:val="zh-CN"/>
                      </w:rPr>
                      <w:t>21</w:t>
                    </w:r>
                    <w:r>
                      <w:rPr>
                        <w:rFonts w:ascii="宋体" w:hAnsi="宋体" w:eastAsia="宋体" w:cs="Times New Roman"/>
                        <w:sz w:val="28"/>
                        <w:szCs w:val="28"/>
                      </w:rPr>
                      <w:fldChar w:fldCharType="end"/>
                    </w:r>
                    <w:r>
                      <w:rPr>
                        <w:rFonts w:hint="eastAsia" w:ascii="宋体" w:hAnsi="宋体" w:eastAsia="宋体"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6B66CE"/>
    <w:rsid w:val="1C7E3A84"/>
    <w:rsid w:val="586B66CE"/>
    <w:rsid w:val="79DE7ACA"/>
    <w:rsid w:val="7C403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widowControl w:val="0"/>
      <w:spacing w:before="240" w:after="60"/>
      <w:jc w:val="both"/>
      <w:outlineLvl w:val="0"/>
    </w:pPr>
    <w:rPr>
      <w:rFonts w:ascii="Cambria" w:hAnsi="Cambria" w:eastAsia="宋体" w:cs="Times New Roman"/>
      <w:b/>
      <w:bCs/>
      <w:kern w:val="32"/>
      <w:sz w:val="32"/>
      <w:szCs w:val="32"/>
      <w:lang w:val="en-US" w:eastAsia="zh-CN" w:bidi="ar-SA"/>
    </w:rPr>
  </w:style>
  <w:style w:type="paragraph" w:styleId="3">
    <w:name w:val="heading 2"/>
    <w:next w:val="1"/>
    <w:qFormat/>
    <w:uiPriority w:val="0"/>
    <w:pPr>
      <w:keepNext/>
      <w:keepLines/>
      <w:widowControl w:val="0"/>
      <w:spacing w:before="260" w:after="260" w:line="413" w:lineRule="auto"/>
      <w:jc w:val="both"/>
      <w:outlineLvl w:val="1"/>
    </w:pPr>
    <w:rPr>
      <w:rFonts w:ascii="Cambria" w:hAnsi="Cambria" w:eastAsia="宋体" w:cs="Times New Roman"/>
      <w:b/>
      <w:bCs/>
      <w:kern w:val="2"/>
      <w:sz w:val="32"/>
      <w:szCs w:val="32"/>
      <w:lang w:val="en-US" w:eastAsia="zh-CN" w:bidi="ar-SA"/>
    </w:rPr>
  </w:style>
  <w:style w:type="paragraph" w:styleId="4">
    <w:name w:val="heading 3"/>
    <w:next w:val="1"/>
    <w:qFormat/>
    <w:uiPriority w:val="0"/>
    <w:pPr>
      <w:widowControl/>
      <w:spacing w:line="360" w:lineRule="auto"/>
      <w:jc w:val="both"/>
      <w:outlineLvl w:val="2"/>
    </w:pPr>
    <w:rPr>
      <w:rFonts w:ascii="Times New Roman" w:hAnsi="Times New Roman" w:eastAsia="宋体" w:cs="Times New Roman"/>
      <w:b/>
      <w:bCs/>
      <w:kern w:val="0"/>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table" w:styleId="7">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qFormat/>
    <w:uiPriority w:val="0"/>
    <w:rPr>
      <w:rFonts w:hint="default" w:ascii="仿宋_GB2312" w:eastAsia="仿宋_GB2312" w:cs="仿宋_GB2312"/>
      <w:color w:val="000000"/>
      <w:sz w:val="24"/>
      <w:szCs w:val="24"/>
      <w:u w:val="none"/>
    </w:rPr>
  </w:style>
  <w:style w:type="character" w:customStyle="1" w:styleId="10">
    <w:name w:val="font3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5558</Words>
  <Characters>6172</Characters>
  <Lines>0</Lines>
  <Paragraphs>0</Paragraphs>
  <TotalTime>1</TotalTime>
  <ScaleCrop>false</ScaleCrop>
  <LinksUpToDate>false</LinksUpToDate>
  <CharactersWithSpaces>6180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2025-05-29T09:13:00Z</dcterms:created>
  <dc:creator>ZSJ</dc:creator>
  <cp:lastModifiedBy>ZSJ</cp:lastModifiedBy>
  <dcterms:modified xsi:type="dcterms:W3CDTF">2025-05-29T11:29:14Z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857E5233A86441879433DDE49731365C_13</vt:lpwstr>
  </property>
  <property fmtid="{D5CDD505-2E9C-101B-9397-08002B2CF9AE}" pid="4" name="KSOTemplateDocerSaveRecord">
    <vt:lpwstr>eyJoZGlkIjoiY2ViMTBhM2IzODJhNTg3NTRjYmE3NjRhMWQwZDJkNzMiLCJ1c2VySWQiOiIzNjA2MTE1OTUifQ==</vt:lpwstr>
  </property>
</Properties>
</file>