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7BF66">
      <w:pPr>
        <w:pStyle w:val="3"/>
        <w:pageBreakBefore w:val="0"/>
        <w:widowControl w:val="0"/>
        <w:kinsoku/>
        <w:wordWrap/>
        <w:overflowPunct/>
        <w:topLinePunct w:val="0"/>
        <w:autoSpaceDE/>
        <w:autoSpaceDN/>
        <w:bidi w:val="0"/>
        <w:adjustRightInd/>
        <w:spacing w:before="0" w:after="0" w:line="360" w:lineRule="auto"/>
        <w:textAlignment w:val="auto"/>
        <w:rPr>
          <w:rFonts w:hint="eastAsia" w:ascii="宋体" w:hAnsi="宋体" w:eastAsia="宋体" w:cs="宋体"/>
          <w:b/>
          <w:bCs/>
          <w:color w:val="000000"/>
          <w:sz w:val="21"/>
          <w:szCs w:val="21"/>
          <w:lang w:val="en-US" w:eastAsia="zh-CN"/>
        </w:rPr>
      </w:pPr>
      <w:bookmarkStart w:id="0" w:name="_Toc359"/>
      <w:bookmarkStart w:id="1" w:name="_Toc822"/>
      <w:bookmarkStart w:id="2" w:name="_Toc18241"/>
      <w:bookmarkStart w:id="3" w:name="_Toc24739"/>
      <w:bookmarkStart w:id="4" w:name="_Toc3824"/>
      <w:r>
        <w:rPr>
          <w:rFonts w:hint="eastAsia" w:ascii="宋体" w:hAnsi="宋体" w:eastAsia="宋体" w:cs="宋体"/>
          <w:b/>
          <w:bCs/>
          <w:color w:val="000000"/>
          <w:sz w:val="21"/>
          <w:szCs w:val="21"/>
          <w:lang w:val="en-US" w:eastAsia="zh-CN"/>
        </w:rPr>
        <w:t>附件2、《衡碱项目EPC/EPCC合格设备、材料生产商/品牌公开征集设备制造商的基本资格及技术要求》</w:t>
      </w:r>
      <w:bookmarkEnd w:id="0"/>
      <w:bookmarkEnd w:id="1"/>
      <w:bookmarkEnd w:id="2"/>
      <w:bookmarkEnd w:id="3"/>
      <w:bookmarkEnd w:id="4"/>
    </w:p>
    <w:p w14:paraId="3CEA40C9">
      <w:pPr>
        <w:pStyle w:val="4"/>
        <w:keepNext w:val="0"/>
        <w:keepLines w:val="0"/>
        <w:pageBreakBefore w:val="0"/>
        <w:widowControl/>
        <w:kinsoku/>
        <w:wordWrap/>
        <w:overflowPunct/>
        <w:topLinePunct w:val="0"/>
        <w:autoSpaceDE/>
        <w:autoSpaceDN/>
        <w:bidi w:val="0"/>
        <w:adjustRightInd/>
        <w:snapToGrid/>
        <w:spacing w:before="154" w:beforeLines="50" w:after="154" w:afterLines="50"/>
        <w:jc w:val="center"/>
        <w:textAlignment w:val="auto"/>
        <w:rPr>
          <w:rFonts w:hint="eastAsia" w:ascii="宋体" w:hAnsi="宋体" w:eastAsia="宋体" w:cs="宋体"/>
          <w:sz w:val="21"/>
          <w:szCs w:val="21"/>
          <w:lang w:val="en-US" w:eastAsia="zh-CN"/>
        </w:rPr>
      </w:pPr>
      <w:bookmarkStart w:id="5" w:name="_Toc27539"/>
      <w:bookmarkStart w:id="6" w:name="_Toc18000"/>
      <w:r>
        <w:rPr>
          <w:rFonts w:hint="eastAsia" w:ascii="宋体" w:hAnsi="宋体" w:eastAsia="宋体" w:cs="宋体"/>
          <w:sz w:val="21"/>
          <w:szCs w:val="21"/>
          <w:lang w:val="en-US" w:eastAsia="zh-CN"/>
        </w:rPr>
        <w:t>第8标段：电气标段电气设备</w:t>
      </w:r>
      <w:bookmarkEnd w:id="5"/>
      <w:bookmarkEnd w:id="6"/>
    </w:p>
    <w:tbl>
      <w:tblPr>
        <w:tblStyle w:val="7"/>
        <w:tblW w:w="142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045"/>
        <w:gridCol w:w="2185"/>
        <w:gridCol w:w="4826"/>
        <w:gridCol w:w="5504"/>
      </w:tblGrid>
      <w:tr w14:paraId="2654A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4D2748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lang w:val="en-US" w:eastAsia="zh-CN"/>
              </w:rPr>
              <w:t>包号</w:t>
            </w:r>
          </w:p>
        </w:tc>
        <w:tc>
          <w:tcPr>
            <w:tcW w:w="1045" w:type="dxa"/>
            <w:tcBorders>
              <w:tl2br w:val="nil"/>
              <w:tr2bl w:val="nil"/>
            </w:tcBorders>
            <w:noWrap w:val="0"/>
            <w:vAlign w:val="center"/>
          </w:tcPr>
          <w:p w14:paraId="2D04B5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包号名称</w:t>
            </w:r>
          </w:p>
        </w:tc>
        <w:tc>
          <w:tcPr>
            <w:tcW w:w="2185" w:type="dxa"/>
            <w:tcBorders>
              <w:tl2br w:val="nil"/>
              <w:tr2bl w:val="nil"/>
            </w:tcBorders>
            <w:noWrap w:val="0"/>
            <w:vAlign w:val="center"/>
          </w:tcPr>
          <w:p w14:paraId="590BD8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包内所含设备（或材料）</w:t>
            </w:r>
          </w:p>
        </w:tc>
        <w:tc>
          <w:tcPr>
            <w:tcW w:w="4826" w:type="dxa"/>
            <w:tcBorders>
              <w:tl2br w:val="nil"/>
              <w:tr2bl w:val="nil"/>
            </w:tcBorders>
            <w:noWrap w:val="0"/>
            <w:vAlign w:val="center"/>
          </w:tcPr>
          <w:p w14:paraId="2DB8D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特定资格、业绩（必须为中国境内的供货业绩）等基本资格要求</w:t>
            </w:r>
          </w:p>
        </w:tc>
        <w:tc>
          <w:tcPr>
            <w:tcW w:w="5504" w:type="dxa"/>
            <w:tcBorders>
              <w:tl2br w:val="nil"/>
              <w:tr2bl w:val="nil"/>
            </w:tcBorders>
            <w:noWrap w:val="0"/>
            <w:vAlign w:val="center"/>
          </w:tcPr>
          <w:p w14:paraId="1C94E2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18"/>
                <w:szCs w:val="18"/>
                <w:highlight w:val="none"/>
                <w:vertAlign w:val="baseline"/>
              </w:rPr>
            </w:pPr>
            <w:r>
              <w:rPr>
                <w:rFonts w:hint="eastAsia" w:ascii="宋体" w:hAnsi="宋体" w:eastAsia="宋体" w:cs="宋体"/>
                <w:b/>
                <w:bCs/>
                <w:strike w:val="0"/>
                <w:dstrike w:val="0"/>
                <w:color w:val="auto"/>
                <w:sz w:val="18"/>
                <w:szCs w:val="18"/>
                <w:highlight w:val="none"/>
                <w:vertAlign w:val="baseline"/>
                <w:lang w:val="en-US" w:eastAsia="zh-CN"/>
              </w:rPr>
              <w:t>技术要求</w:t>
            </w:r>
          </w:p>
        </w:tc>
      </w:tr>
      <w:tr w14:paraId="30872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56BD953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w:t>
            </w:r>
          </w:p>
        </w:tc>
        <w:tc>
          <w:tcPr>
            <w:tcW w:w="1045" w:type="dxa"/>
            <w:tcBorders>
              <w:tl2br w:val="nil"/>
              <w:tr2bl w:val="nil"/>
            </w:tcBorders>
            <w:noWrap w:val="0"/>
            <w:vAlign w:val="center"/>
          </w:tcPr>
          <w:p w14:paraId="53A462A4">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高压成套开关柜（热电、化工总站用）</w:t>
            </w:r>
          </w:p>
        </w:tc>
        <w:tc>
          <w:tcPr>
            <w:tcW w:w="2185" w:type="dxa"/>
            <w:tcBorders>
              <w:tl2br w:val="nil"/>
              <w:tr2bl w:val="nil"/>
            </w:tcBorders>
            <w:noWrap w:val="0"/>
            <w:vAlign w:val="center"/>
          </w:tcPr>
          <w:p w14:paraId="4F1DC14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高压成套开关柜（热电、化工总站用）</w:t>
            </w:r>
          </w:p>
        </w:tc>
        <w:tc>
          <w:tcPr>
            <w:tcW w:w="4826" w:type="dxa"/>
            <w:tcBorders>
              <w:tl2br w:val="nil"/>
              <w:tr2bl w:val="nil"/>
            </w:tcBorders>
            <w:noWrap w:val="0"/>
            <w:vAlign w:val="center"/>
          </w:tcPr>
          <w:p w14:paraId="549CA537">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2.1、供货业绩要求：具有一个合同数量不少于200面高压成套开关柜的供货业绩。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4009CF0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开关柜技术要求：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1.开关柜外壳厚度不低于2mm ；前后门采用A3冷轧板，厚度不低于2mm，表面喷塑。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2.防护等级：开关柜外壳防护等级应达到和超过IP4X的等级要求，隔室间、断路器室门打开为IP2X。</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3.柜型要求：KYN28-12等。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开关柜内元器件要求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1.真空断路器（进口品牌国内生产）：西门子、ABB、施耐德等。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2.电流互感器、电压互感器：大连二互、大连一互、西门子、施耐德、ABB等。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3.10KV中置柜智能操控装置、智能除湿装置、二次过电压保护器：浙江威控、中讯博尔、北京贝瓦电力、西安中电达电子、陕西赛唯莱特等。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4.110kv微机综合保护装置：南瑞继保、国电南自、许继、北京四方等；10kv微机继电保护装置：南瑞继保、国电南自、国电南瑞、许继、北京四方等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14FCC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0815A1F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w:t>
            </w:r>
          </w:p>
        </w:tc>
        <w:tc>
          <w:tcPr>
            <w:tcW w:w="1045" w:type="dxa"/>
            <w:tcBorders>
              <w:tl2br w:val="nil"/>
              <w:tr2bl w:val="nil"/>
            </w:tcBorders>
            <w:noWrap w:val="0"/>
            <w:vAlign w:val="center"/>
          </w:tcPr>
          <w:p w14:paraId="280B119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高压成套开关柜（各二级及以下变电所用）</w:t>
            </w:r>
          </w:p>
        </w:tc>
        <w:tc>
          <w:tcPr>
            <w:tcW w:w="2185" w:type="dxa"/>
            <w:tcBorders>
              <w:tl2br w:val="nil"/>
              <w:tr2bl w:val="nil"/>
            </w:tcBorders>
            <w:noWrap w:val="0"/>
            <w:vAlign w:val="center"/>
          </w:tcPr>
          <w:p w14:paraId="0DE90C0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高压成套开关柜（各二级及以下变电所用）</w:t>
            </w:r>
          </w:p>
        </w:tc>
        <w:tc>
          <w:tcPr>
            <w:tcW w:w="4826" w:type="dxa"/>
            <w:tcBorders>
              <w:tl2br w:val="nil"/>
              <w:tr2bl w:val="nil"/>
            </w:tcBorders>
            <w:noWrap w:val="0"/>
            <w:vAlign w:val="center"/>
          </w:tcPr>
          <w:p w14:paraId="657B3B85">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2.1、供货业绩要求：具有一个合同数量不少于100面高压成套开关柜的供货业绩。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08B7864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开关柜技术要求：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1.开关柜外壳厚度不低于2mm ；前后门采用A3冷轧板，厚度不低于2mm，表面喷塑。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2.防护等级：开关柜外壳防护等级应达到和超过IP4X的等级要求，隔室间、断路器室门打开为IP2X。</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3.柜型要求：KYN28-12等。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开关柜内元器件要求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1.真空断路器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固封极柱2000A及以上（进口品牌国内生产）：西门子、ABB、施耐德等。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固封极柱2000A以下：厦门华电、天水长城、伊顿、施耐德（宝光）、西门子、ABB等。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2.电流互感器、电压互感器：大连二互、大连一互、西门子、施耐德、ABB等。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3.10KV中置柜智能操控装置、智能除湿装置、二次过电压保护器：浙江威控、中讯博尔、北京贝瓦电力、西安中电达电子、陕西赛唯莱特等。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4.110kv微机综合保护装置：南瑞继保、国电南自、许继、北京四方等；10kv微机继电保护装置：南瑞继保、国电南自、国电南瑞、许继、北京四方等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3F2BC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2AD06FE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w:t>
            </w:r>
          </w:p>
        </w:tc>
        <w:tc>
          <w:tcPr>
            <w:tcW w:w="1045" w:type="dxa"/>
            <w:tcBorders>
              <w:tl2br w:val="nil"/>
              <w:tr2bl w:val="nil"/>
            </w:tcBorders>
            <w:noWrap w:val="0"/>
            <w:vAlign w:val="center"/>
          </w:tcPr>
          <w:p w14:paraId="4C7CB1C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低压成套开关柜</w:t>
            </w:r>
          </w:p>
        </w:tc>
        <w:tc>
          <w:tcPr>
            <w:tcW w:w="2185" w:type="dxa"/>
            <w:tcBorders>
              <w:tl2br w:val="nil"/>
              <w:tr2bl w:val="nil"/>
            </w:tcBorders>
            <w:noWrap w:val="0"/>
            <w:vAlign w:val="center"/>
          </w:tcPr>
          <w:p w14:paraId="2D4D4A54">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低压成套开关柜</w:t>
            </w:r>
          </w:p>
        </w:tc>
        <w:tc>
          <w:tcPr>
            <w:tcW w:w="4826" w:type="dxa"/>
            <w:tcBorders>
              <w:tl2br w:val="nil"/>
              <w:tr2bl w:val="nil"/>
            </w:tcBorders>
            <w:noWrap w:val="0"/>
            <w:vAlign w:val="center"/>
          </w:tcPr>
          <w:p w14:paraId="17A7253E">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2.1、供货业绩要求：具有一个合同数量不少于200面低压成套开关柜的供货业绩。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2BA9BCE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开关柜技术要求：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1.柜型要求：MNS等                                                                                                                  2.技术参数：380V，65KA,MNS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3.防护等级：IP4X(外壳)、开关柜内部：IP2X。</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4.开关柜外形应平整美观，柜架应采用冷轧钢板或优质敷铝锌板(厚度不小于2mm)弯制后用螺栓组装而成，面板采用冷轧钢板(厚度不小于2mm)静电喷塑。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开关柜内元器件要求</w:t>
            </w:r>
            <w:r>
              <w:rPr>
                <w:rFonts w:hint="eastAsia" w:ascii="宋体" w:hAnsi="宋体" w:eastAsia="宋体" w:cs="宋体"/>
                <w:i w:val="0"/>
                <w:iCs w:val="0"/>
                <w:color w:val="000000"/>
                <w:kern w:val="0"/>
                <w:sz w:val="18"/>
                <w:szCs w:val="18"/>
                <w:highlight w:val="none"/>
                <w:u w:val="none"/>
                <w:lang w:val="en-US" w:eastAsia="zh-CN" w:bidi="ar"/>
              </w:rPr>
              <w:t xml:space="preserve">                                                                                         1.进线断路器、联络断路器、事故段断路器、400A及以上塑壳开关、交流接触器：施耐德、西门子、ABB等；400A以下塑壳开关：常熟开关、上联、泰永长征等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2.低压变频器：施耐德、西门子、ABB、丹佛斯（Danfoss）等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3.双电源自动转换开关：施耐德、西门子、ABB、溯高美等                                                                                                                                                                                                                                                                                                                                                                                                                                                                                                                                                                                                                                                                                                      4.电动机智能马达保护器、低压SCADA系统集成 ：苏州万龙、深圳中电、丹东华通、上海华建、斯菲尔等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688BB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3EA6C88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包4</w:t>
            </w:r>
          </w:p>
        </w:tc>
        <w:tc>
          <w:tcPr>
            <w:tcW w:w="1045" w:type="dxa"/>
            <w:tcBorders>
              <w:tl2br w:val="nil"/>
              <w:tr2bl w:val="nil"/>
            </w:tcBorders>
            <w:noWrap w:val="0"/>
            <w:vAlign w:val="center"/>
          </w:tcPr>
          <w:p w14:paraId="13AC7B0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干式变压器</w:t>
            </w:r>
          </w:p>
        </w:tc>
        <w:tc>
          <w:tcPr>
            <w:tcW w:w="2185" w:type="dxa"/>
            <w:tcBorders>
              <w:tl2br w:val="nil"/>
              <w:tr2bl w:val="nil"/>
            </w:tcBorders>
            <w:noWrap w:val="0"/>
            <w:vAlign w:val="center"/>
          </w:tcPr>
          <w:p w14:paraId="0EC6F4D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干式变压器</w:t>
            </w:r>
          </w:p>
        </w:tc>
        <w:tc>
          <w:tcPr>
            <w:tcW w:w="4826" w:type="dxa"/>
            <w:tcBorders>
              <w:tl2br w:val="nil"/>
              <w:tr2bl w:val="nil"/>
            </w:tcBorders>
            <w:noWrap w:val="0"/>
            <w:vAlign w:val="center"/>
          </w:tcPr>
          <w:p w14:paraId="4E51907A">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2.1、供货业绩要求：具有石油化工行业或煤化工行业或国网或南网的合同金额不低于200万干式变压器的供货业绩一个。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3、本项目接受：制造商的投标（国产适用和进口品牌国内生产适用)；代理商的投标（进口品牌国内生产适用）(如允许代理商投标的，一个制造商仅能委托一个代理商参加投标)。</w:t>
            </w:r>
          </w:p>
        </w:tc>
        <w:tc>
          <w:tcPr>
            <w:tcW w:w="5504" w:type="dxa"/>
            <w:tcBorders>
              <w:tl2br w:val="nil"/>
              <w:tr2bl w:val="nil"/>
            </w:tcBorders>
            <w:noWrap w:val="0"/>
            <w:vAlign w:val="center"/>
          </w:tcPr>
          <w:p w14:paraId="1E48673B">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1.阻抗电压（%） 6%</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2.绝缘等级：H级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3.联结组别：Dyn11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4.冷却方式：AN/AF</w:t>
            </w:r>
          </w:p>
        </w:tc>
      </w:tr>
      <w:tr w14:paraId="57278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71AAFE0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包5</w:t>
            </w:r>
          </w:p>
        </w:tc>
        <w:tc>
          <w:tcPr>
            <w:tcW w:w="1045" w:type="dxa"/>
            <w:tcBorders>
              <w:tl2br w:val="nil"/>
              <w:tr2bl w:val="nil"/>
            </w:tcBorders>
            <w:noWrap w:val="0"/>
            <w:vAlign w:val="center"/>
          </w:tcPr>
          <w:p w14:paraId="0337315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油浸式变压器</w:t>
            </w:r>
          </w:p>
        </w:tc>
        <w:tc>
          <w:tcPr>
            <w:tcW w:w="2185" w:type="dxa"/>
            <w:tcBorders>
              <w:tl2br w:val="nil"/>
              <w:tr2bl w:val="nil"/>
            </w:tcBorders>
            <w:noWrap w:val="0"/>
            <w:vAlign w:val="center"/>
          </w:tcPr>
          <w:p w14:paraId="05C6A0F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油浸式变压器</w:t>
            </w:r>
          </w:p>
        </w:tc>
        <w:tc>
          <w:tcPr>
            <w:tcW w:w="4826" w:type="dxa"/>
            <w:tcBorders>
              <w:tl2br w:val="nil"/>
              <w:tr2bl w:val="nil"/>
            </w:tcBorders>
            <w:noWrap w:val="0"/>
            <w:vAlign w:val="center"/>
          </w:tcPr>
          <w:p w14:paraId="17C524F7">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2.1、供货业绩要求：具有一个石油化工行业或煤化工行业或国网或南网合同金额不低于600万的110kV及以上油浸式变压器的供货业绩。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7576420A">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1.额定电压：110kV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2.最高运行电压：126 kV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3.容量：40MVA（无风扇冷却下额定输出容量），符合《电力变压器能效限定值及能效等级》（GB 20052-2024）二级能效及以上等级。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1.主变分接开关：上海华明、贵州长征、长电开关等。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2.主变在线监测系统（油色谱、铁芯、局放、光纤绕组测温）：河北万世合、新亿普、开云智能、南京路通电力、鑫洋智能、慧灵盾科技等。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（主变）中性点成套装置、（主变）智能风冷控制柜：保定北尚、亿陵电力、河北万世合、保定市荣优、河北宇擎等。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110kV套管：山东辰祥、搏世因 、传奇电气、特变电工、大连耐道等。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6BF60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3016AD2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包6</w:t>
            </w:r>
          </w:p>
        </w:tc>
        <w:tc>
          <w:tcPr>
            <w:tcW w:w="1045" w:type="dxa"/>
            <w:tcBorders>
              <w:tl2br w:val="nil"/>
              <w:tr2bl w:val="nil"/>
            </w:tcBorders>
            <w:noWrap w:val="0"/>
            <w:vAlign w:val="center"/>
          </w:tcPr>
          <w:p w14:paraId="384F8D0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控制电缆</w:t>
            </w:r>
          </w:p>
        </w:tc>
        <w:tc>
          <w:tcPr>
            <w:tcW w:w="2185" w:type="dxa"/>
            <w:tcBorders>
              <w:tl2br w:val="nil"/>
              <w:tr2bl w:val="nil"/>
            </w:tcBorders>
            <w:noWrap w:val="0"/>
            <w:vAlign w:val="center"/>
          </w:tcPr>
          <w:p w14:paraId="7BAD5F1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控制电缆</w:t>
            </w:r>
          </w:p>
        </w:tc>
        <w:tc>
          <w:tcPr>
            <w:tcW w:w="4826" w:type="dxa"/>
            <w:tcBorders>
              <w:tl2br w:val="nil"/>
              <w:tr2bl w:val="nil"/>
            </w:tcBorders>
            <w:noWrap w:val="0"/>
            <w:vAlign w:val="center"/>
          </w:tcPr>
          <w:p w14:paraId="2B3423BC">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2.1、供货业绩要求：具有一个合同金额不得低于200万控制电缆的供货业绩。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60DCC34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1、其组成、 性能和外观符合GB/T3956的规定；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2、导体屏蔽标称厚度满足符合GB和IEC规范要求；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3、其绝缘标称厚度符合GB和IEC规范要求，绝缘厚度平均值不小于规定的标称值，绝缘层横断面上任一点最薄点的厚度不 小于标称厚度的90%-0.1mm;偏芯度不得大于10%。</w:t>
            </w:r>
          </w:p>
        </w:tc>
      </w:tr>
      <w:tr w14:paraId="4BAC0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4DB4FF1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包7</w:t>
            </w:r>
          </w:p>
        </w:tc>
        <w:tc>
          <w:tcPr>
            <w:tcW w:w="1045" w:type="dxa"/>
            <w:tcBorders>
              <w:tl2br w:val="nil"/>
              <w:tr2bl w:val="nil"/>
            </w:tcBorders>
            <w:noWrap w:val="0"/>
            <w:vAlign w:val="center"/>
          </w:tcPr>
          <w:p w14:paraId="512638B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10KV及以下动力电缆</w:t>
            </w:r>
          </w:p>
        </w:tc>
        <w:tc>
          <w:tcPr>
            <w:tcW w:w="2185" w:type="dxa"/>
            <w:tcBorders>
              <w:tl2br w:val="nil"/>
              <w:tr2bl w:val="nil"/>
            </w:tcBorders>
            <w:noWrap w:val="0"/>
            <w:vAlign w:val="center"/>
          </w:tcPr>
          <w:p w14:paraId="5112ACD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10KV及以下动力电缆</w:t>
            </w:r>
          </w:p>
        </w:tc>
        <w:tc>
          <w:tcPr>
            <w:tcW w:w="4826" w:type="dxa"/>
            <w:tcBorders>
              <w:tl2br w:val="nil"/>
              <w:tr2bl w:val="nil"/>
            </w:tcBorders>
            <w:noWrap w:val="0"/>
            <w:vAlign w:val="center"/>
          </w:tcPr>
          <w:p w14:paraId="29A0267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w:t>
            </w:r>
            <w:r>
              <w:rPr>
                <w:rFonts w:hint="eastAsia" w:ascii="宋体" w:hAnsi="宋体" w:eastAsia="宋体" w:cs="宋体"/>
                <w:b/>
                <w:bCs/>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供货业绩要求：具有一个合同金额不得低于200万的10KV及以下动力电缆的供货业绩。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b/>
                <w:bCs/>
                <w:i w:val="0"/>
                <w:iCs w:val="0"/>
                <w:color w:val="000000"/>
                <w:kern w:val="0"/>
                <w:sz w:val="18"/>
                <w:szCs w:val="18"/>
                <w:highlight w:val="none"/>
                <w:u w:val="none"/>
                <w:lang w:val="en-US" w:eastAsia="zh-CN" w:bidi="ar"/>
              </w:rPr>
              <w:t>。</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r>
              <w:rPr>
                <w:rFonts w:hint="eastAsia" w:ascii="宋体" w:hAnsi="宋体" w:eastAsia="宋体" w:cs="宋体"/>
                <w:b/>
                <w:bCs/>
                <w:i w:val="0"/>
                <w:iCs w:val="0"/>
                <w:color w:val="000000"/>
                <w:kern w:val="0"/>
                <w:sz w:val="18"/>
                <w:szCs w:val="18"/>
                <w:highlight w:val="none"/>
                <w:u w:val="none"/>
                <w:lang w:val="en-US" w:eastAsia="zh-CN" w:bidi="ar"/>
              </w:rPr>
              <w:t>。</w:t>
            </w:r>
          </w:p>
        </w:tc>
        <w:tc>
          <w:tcPr>
            <w:tcW w:w="5504" w:type="dxa"/>
            <w:tcBorders>
              <w:tl2br w:val="nil"/>
              <w:tr2bl w:val="nil"/>
            </w:tcBorders>
            <w:noWrap w:val="0"/>
            <w:vAlign w:val="center"/>
          </w:tcPr>
          <w:p w14:paraId="245912E7">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1、雷电冲击耐压水平：75kV；</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2、绝缘屏蔽为塑料挤包半导电层，半导电层均匀地包覆在绝缘表面；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3、导体屏蔽、绝缘、绝缘屏蔽采用三层共挤出工艺，全封闭氮气保护化学交联一次性完成；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4、在空气中敷设的电缆防火性能应满足GB/T 18380的要求。电缆的阻燃特性和技术参数应符合GB/T 19666的有关规定；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5、电缆头总站与分站采用合资以上；分站采用国产；电缆两端电缆头保持一致。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电缆头：长缆、吉林中科、国电联、ABB、3M等。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57B62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5796DAB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包8</w:t>
            </w:r>
          </w:p>
        </w:tc>
        <w:tc>
          <w:tcPr>
            <w:tcW w:w="1045" w:type="dxa"/>
            <w:tcBorders>
              <w:tl2br w:val="nil"/>
              <w:tr2bl w:val="nil"/>
            </w:tcBorders>
            <w:noWrap w:val="0"/>
            <w:vAlign w:val="center"/>
          </w:tcPr>
          <w:p w14:paraId="42F0D29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110KV动力电缆</w:t>
            </w:r>
          </w:p>
        </w:tc>
        <w:tc>
          <w:tcPr>
            <w:tcW w:w="2185" w:type="dxa"/>
            <w:tcBorders>
              <w:tl2br w:val="nil"/>
              <w:tr2bl w:val="nil"/>
            </w:tcBorders>
            <w:noWrap w:val="0"/>
            <w:vAlign w:val="center"/>
          </w:tcPr>
          <w:p w14:paraId="7930096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110KV动力电缆</w:t>
            </w:r>
          </w:p>
        </w:tc>
        <w:tc>
          <w:tcPr>
            <w:tcW w:w="4826" w:type="dxa"/>
            <w:tcBorders>
              <w:tl2br w:val="nil"/>
              <w:tr2bl w:val="nil"/>
            </w:tcBorders>
            <w:noWrap w:val="0"/>
            <w:vAlign w:val="center"/>
          </w:tcPr>
          <w:p w14:paraId="1FE9443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2.1、供货业绩要求：具有一个国网或南网110KV动力电缆的供货业绩。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58DB14CB">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1.雷电冲击耐压水平：550kV；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2.导体铜单线应采用GB/T 3953 中TR 型圆铜线。800mm2 及以下导体应采用紧压绞合圆形结构，1000mm2 及以上；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3.主绝缘选用超净交联聚乙烯料，半导电屏蔽料采用超光滑交联型材料；常规绝缘的厚度为16.0 mm～17.5mm，轻型绝缘的厚度为13.5 mm；导体屏蔽厚度的近似值为1.5mm, 其中挤包的半导电层的最薄点厚度不应小于0.5mm；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电缆头：KP、布鲁克、耐克森、ABB、3M等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558C0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061047E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包9</w:t>
            </w:r>
          </w:p>
        </w:tc>
        <w:tc>
          <w:tcPr>
            <w:tcW w:w="1045" w:type="dxa"/>
            <w:tcBorders>
              <w:tl2br w:val="nil"/>
              <w:tr2bl w:val="nil"/>
            </w:tcBorders>
            <w:noWrap w:val="0"/>
            <w:vAlign w:val="center"/>
          </w:tcPr>
          <w:p w14:paraId="3252515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10KV中压变频器</w:t>
            </w:r>
          </w:p>
        </w:tc>
        <w:tc>
          <w:tcPr>
            <w:tcW w:w="2185" w:type="dxa"/>
            <w:tcBorders>
              <w:tl2br w:val="nil"/>
              <w:tr2bl w:val="nil"/>
            </w:tcBorders>
            <w:noWrap w:val="0"/>
            <w:vAlign w:val="center"/>
          </w:tcPr>
          <w:p w14:paraId="75B1FD3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10KV中压变频器</w:t>
            </w:r>
          </w:p>
        </w:tc>
        <w:tc>
          <w:tcPr>
            <w:tcW w:w="4826" w:type="dxa"/>
            <w:tcBorders>
              <w:tl2br w:val="nil"/>
              <w:tr2bl w:val="nil"/>
            </w:tcBorders>
            <w:noWrap w:val="0"/>
            <w:vAlign w:val="center"/>
          </w:tcPr>
          <w:p w14:paraId="0CA24AF1">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1、供货业绩要求：具有一个石化行业或煤化工或盐化工行业10KV中压变频器的供货业绩。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504" w:type="dxa"/>
            <w:tcBorders>
              <w:tl2br w:val="nil"/>
              <w:tr2bl w:val="nil"/>
            </w:tcBorders>
            <w:noWrap w:val="0"/>
            <w:vAlign w:val="center"/>
          </w:tcPr>
          <w:p w14:paraId="6E96445A">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1.频率控制精度 ±0.1%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2.噪声等级 ≤60dB（≤85dB）；</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3.过载能力 110% ,60s/10min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4.外壳防护等级为 IP4X（IP31 或 IP42），柜内防护等级为 IP2X；</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柜内元器件要求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1.10KV中压变频器柜内断路器：ABB、施耐德、西门子等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2.柜内高压接触器及主要元器件：ABB、西门子、施耐德等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00525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362CE49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包10</w:t>
            </w:r>
          </w:p>
        </w:tc>
        <w:tc>
          <w:tcPr>
            <w:tcW w:w="1045" w:type="dxa"/>
            <w:tcBorders>
              <w:tl2br w:val="nil"/>
              <w:tr2bl w:val="nil"/>
            </w:tcBorders>
            <w:noWrap w:val="0"/>
            <w:vAlign w:val="center"/>
          </w:tcPr>
          <w:p w14:paraId="2EAA993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126kV SF6封闭组合电气(H)GIS</w:t>
            </w:r>
          </w:p>
        </w:tc>
        <w:tc>
          <w:tcPr>
            <w:tcW w:w="2185" w:type="dxa"/>
            <w:tcBorders>
              <w:tl2br w:val="nil"/>
              <w:tr2bl w:val="nil"/>
            </w:tcBorders>
            <w:noWrap w:val="0"/>
            <w:vAlign w:val="center"/>
          </w:tcPr>
          <w:p w14:paraId="22D7FD2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126kV SF6封闭组合电气(H)GIS</w:t>
            </w:r>
          </w:p>
        </w:tc>
        <w:tc>
          <w:tcPr>
            <w:tcW w:w="4826" w:type="dxa"/>
            <w:tcBorders>
              <w:tl2br w:val="nil"/>
              <w:tr2bl w:val="nil"/>
            </w:tcBorders>
            <w:noWrap w:val="0"/>
            <w:vAlign w:val="center"/>
          </w:tcPr>
          <w:p w14:paraId="45B2A84F">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1、供货业绩要求：具有一个国网或南网126kV SF6封闭组合电气(H)GIS的供货业绩。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535749A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1、额定电压：126kV；</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2、局部放电量：在1.1倍额定相电压下，局部放电水平：每个间隔不大于10PC；每个单元不大于3PC；</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3、SF6 年漏气率：不大于1%；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4、GIS 外壳采用优质铝合金（颜色最终由招标方确定），内部母线采用铜母线，主触头材质：铜钨合金，表面镀银。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 电流互感器、电压互感器：大连二互、大连一互、ABB、施耐德、西门子等。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进出线套管：山东辰祥、搏世因 、传奇电气、特变电工、大连耐道等。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GIS综合监测、110KV电缆监测：日新电气、pheanon、ETK、杭州领程电力、安徽富丰电气等。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4 110kv微机综合保护装置：南京南瑞、国电南自、许继、北京四方等。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235EB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378F9154">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包11</w:t>
            </w:r>
          </w:p>
        </w:tc>
        <w:tc>
          <w:tcPr>
            <w:tcW w:w="1045" w:type="dxa"/>
            <w:tcBorders>
              <w:tl2br w:val="nil"/>
              <w:tr2bl w:val="nil"/>
            </w:tcBorders>
            <w:noWrap w:val="0"/>
            <w:vAlign w:val="center"/>
          </w:tcPr>
          <w:p w14:paraId="555AF49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厂用高配系统及变电站自动化系统（通讯管理机、保护、后台等）</w:t>
            </w:r>
          </w:p>
        </w:tc>
        <w:tc>
          <w:tcPr>
            <w:tcW w:w="2185" w:type="dxa"/>
            <w:tcBorders>
              <w:tl2br w:val="nil"/>
              <w:tr2bl w:val="nil"/>
            </w:tcBorders>
            <w:noWrap w:val="0"/>
            <w:vAlign w:val="center"/>
          </w:tcPr>
          <w:p w14:paraId="619FE9A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厂用高配系统及变电站自动化系统（通讯管理机、保护、后台等）</w:t>
            </w:r>
          </w:p>
        </w:tc>
        <w:tc>
          <w:tcPr>
            <w:tcW w:w="4826" w:type="dxa"/>
            <w:tcBorders>
              <w:tl2br w:val="nil"/>
              <w:tr2bl w:val="nil"/>
            </w:tcBorders>
            <w:noWrap w:val="0"/>
            <w:vAlign w:val="center"/>
          </w:tcPr>
          <w:p w14:paraId="2A4EE86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2.1、供货业绩要求：具有一个国网或南网该设备的供货业绩。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5D01D77D">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1.变电所自动化系统包括继电保护、微机监控系统、微机五防系统。继电保护、微机监控系统满足工厂需要， 且应满足上级国网公司的相关要求等。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2.变电所自动化系统按集成系统设置；采用面向对象的分层、分布式拓扑架构。主站按双主机、双服务器配置，子站按双主机配置。通信管理机采用双机冗余配置，宜选用无机械转动部件的嵌入式系统。</w:t>
            </w:r>
          </w:p>
        </w:tc>
      </w:tr>
      <w:tr w14:paraId="4D110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49C3A3A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包12</w:t>
            </w:r>
          </w:p>
        </w:tc>
        <w:tc>
          <w:tcPr>
            <w:tcW w:w="1045" w:type="dxa"/>
            <w:tcBorders>
              <w:tl2br w:val="nil"/>
              <w:tr2bl w:val="nil"/>
            </w:tcBorders>
            <w:noWrap w:val="0"/>
            <w:vAlign w:val="center"/>
          </w:tcPr>
          <w:p w14:paraId="22A2D17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同期装置</w:t>
            </w:r>
          </w:p>
        </w:tc>
        <w:tc>
          <w:tcPr>
            <w:tcW w:w="2185" w:type="dxa"/>
            <w:tcBorders>
              <w:tl2br w:val="nil"/>
              <w:tr2bl w:val="nil"/>
            </w:tcBorders>
            <w:noWrap w:val="0"/>
            <w:vAlign w:val="center"/>
          </w:tcPr>
          <w:p w14:paraId="20E25A5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同期装置</w:t>
            </w:r>
          </w:p>
        </w:tc>
        <w:tc>
          <w:tcPr>
            <w:tcW w:w="4826" w:type="dxa"/>
            <w:tcBorders>
              <w:tl2br w:val="nil"/>
              <w:tr2bl w:val="nil"/>
            </w:tcBorders>
            <w:noWrap w:val="0"/>
            <w:vAlign w:val="center"/>
          </w:tcPr>
          <w:p w14:paraId="51FB534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2.1、供货业绩要求：具有一个国网或南网同期装置的供货业绩。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3C1A43B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 xml:space="preserve">1.同期装置应具有不少于8个任意定义并网性质的并列点，并具有自动识别对象类别及并网性质的功能。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2.同期装置应能自动识别并网性质—差频或合。同期装置应能确保捕捉首次并网时机、高速无冲击并网。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3.同期装置应具有组网及与DCS通讯功能，通讯接口为RS485，通讯规约Modbus。控制器提供与上位机的通讯接口（RS-232、RS-485），并提供通讯协议，以满足将准同期控制器纳入DCS系统的需要。</w:t>
            </w:r>
          </w:p>
        </w:tc>
      </w:tr>
      <w:tr w14:paraId="128ED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18150F9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包13</w:t>
            </w:r>
          </w:p>
        </w:tc>
        <w:tc>
          <w:tcPr>
            <w:tcW w:w="1045" w:type="dxa"/>
            <w:tcBorders>
              <w:tl2br w:val="nil"/>
              <w:tr2bl w:val="nil"/>
            </w:tcBorders>
            <w:noWrap w:val="0"/>
            <w:vAlign w:val="center"/>
          </w:tcPr>
          <w:p w14:paraId="2DC8C61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电能集抄系统</w:t>
            </w:r>
          </w:p>
        </w:tc>
        <w:tc>
          <w:tcPr>
            <w:tcW w:w="2185" w:type="dxa"/>
            <w:tcBorders>
              <w:tl2br w:val="nil"/>
              <w:tr2bl w:val="nil"/>
            </w:tcBorders>
            <w:noWrap w:val="0"/>
            <w:vAlign w:val="center"/>
          </w:tcPr>
          <w:p w14:paraId="669D2CB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电能集抄系统</w:t>
            </w:r>
          </w:p>
        </w:tc>
        <w:tc>
          <w:tcPr>
            <w:tcW w:w="4826" w:type="dxa"/>
            <w:tcBorders>
              <w:tl2br w:val="nil"/>
              <w:tr2bl w:val="nil"/>
            </w:tcBorders>
            <w:noWrap w:val="0"/>
            <w:vAlign w:val="center"/>
          </w:tcPr>
          <w:p w14:paraId="54A5FABC">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2.1、供货业绩要求：具有一个电能集抄系统的供货业绩。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制造商的投标（国产适用和进口品牌国内生产适用)；代理商的投标（进口品牌国内生产适用）(如允许代理商投标的，一个制造商仅能委托一个代理商参加投标)。</w:t>
            </w:r>
          </w:p>
        </w:tc>
        <w:tc>
          <w:tcPr>
            <w:tcW w:w="5504" w:type="dxa"/>
            <w:tcBorders>
              <w:tl2br w:val="nil"/>
              <w:tr2bl w:val="nil"/>
            </w:tcBorders>
            <w:noWrap w:val="0"/>
            <w:vAlign w:val="center"/>
          </w:tcPr>
          <w:p w14:paraId="45E5E5C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1、采用基于分层分布型以太网结构设计的可扩展、可升级、可配置的嵌入式通信和数据采集装置，符合IEC、IEEE等在高电压、强磁场运行环境下控制设备的安全防护性能的规范要求，-10℃-40℃户内安装运行。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2、系统配置包含系统监控主机、显示器、网络交换机、打印机、电能量系统软件、电能量采集装置及网络附件等设备。各盘柜网线（光纤）、表与表之间通讯485线由投标方提供及安装连接。</w:t>
            </w:r>
          </w:p>
        </w:tc>
      </w:tr>
      <w:tr w14:paraId="398DA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234D246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包14</w:t>
            </w:r>
          </w:p>
        </w:tc>
        <w:tc>
          <w:tcPr>
            <w:tcW w:w="1045" w:type="dxa"/>
            <w:tcBorders>
              <w:tl2br w:val="nil"/>
              <w:tr2bl w:val="nil"/>
            </w:tcBorders>
            <w:noWrap w:val="0"/>
            <w:vAlign w:val="center"/>
          </w:tcPr>
          <w:p w14:paraId="5AD49FB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10kv动力电缆在线测温系统（光纤测温）</w:t>
            </w:r>
          </w:p>
        </w:tc>
        <w:tc>
          <w:tcPr>
            <w:tcW w:w="2185" w:type="dxa"/>
            <w:tcBorders>
              <w:tl2br w:val="nil"/>
              <w:tr2bl w:val="nil"/>
            </w:tcBorders>
            <w:noWrap w:val="0"/>
            <w:vAlign w:val="center"/>
          </w:tcPr>
          <w:p w14:paraId="31D3082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10kv动力电缆在线测温系统（光纤测温）</w:t>
            </w:r>
          </w:p>
        </w:tc>
        <w:tc>
          <w:tcPr>
            <w:tcW w:w="4826" w:type="dxa"/>
            <w:tcBorders>
              <w:tl2br w:val="nil"/>
              <w:tr2bl w:val="nil"/>
            </w:tcBorders>
            <w:noWrap w:val="0"/>
            <w:vAlign w:val="center"/>
          </w:tcPr>
          <w:p w14:paraId="416DFE76">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2.1、供货业绩要求：具有一个10kv动力电缆在线测温系统（光纤测温）的供货业绩。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6B5CFF67">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1.具有温度报警阀值任意设定、报警定位精度高等特点；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2.可设置多级报警/温升速率/温升趋势来进行连续监测，可在任何时间准确显示任何一点的温度状态，在火灾发生前早期预警。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3.感温光纤为62.5/125多模铠装光缆，可抗机械损坏，不受恶劣环境或电磁干扰的影响；</w:t>
            </w:r>
          </w:p>
        </w:tc>
      </w:tr>
      <w:tr w14:paraId="362A8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7B74EDB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包15</w:t>
            </w:r>
          </w:p>
        </w:tc>
        <w:tc>
          <w:tcPr>
            <w:tcW w:w="1045" w:type="dxa"/>
            <w:tcBorders>
              <w:tl2br w:val="nil"/>
              <w:tr2bl w:val="nil"/>
            </w:tcBorders>
            <w:noWrap w:val="0"/>
            <w:vAlign w:val="center"/>
          </w:tcPr>
          <w:p w14:paraId="753B04A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ups电源</w:t>
            </w:r>
          </w:p>
        </w:tc>
        <w:tc>
          <w:tcPr>
            <w:tcW w:w="2185" w:type="dxa"/>
            <w:tcBorders>
              <w:tl2br w:val="nil"/>
              <w:tr2bl w:val="nil"/>
            </w:tcBorders>
            <w:noWrap w:val="0"/>
            <w:vAlign w:val="center"/>
          </w:tcPr>
          <w:p w14:paraId="5CAE64E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ups电源</w:t>
            </w:r>
          </w:p>
        </w:tc>
        <w:tc>
          <w:tcPr>
            <w:tcW w:w="4826" w:type="dxa"/>
            <w:tcBorders>
              <w:tl2br w:val="nil"/>
              <w:tr2bl w:val="nil"/>
            </w:tcBorders>
            <w:noWrap w:val="0"/>
            <w:vAlign w:val="center"/>
          </w:tcPr>
          <w:p w14:paraId="3D3E5F87">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2.1、供货业绩要求：具有一个石油化工或煤化工行业ups电源的供货业绩。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504" w:type="dxa"/>
            <w:tcBorders>
              <w:tl2br w:val="nil"/>
              <w:tr2bl w:val="nil"/>
            </w:tcBorders>
            <w:noWrap w:val="0"/>
            <w:vAlign w:val="center"/>
          </w:tcPr>
          <w:p w14:paraId="68B4E5B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1.工业级UPS，所有电路板三防漆涂层防护，配置防雷模块；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2.采用12脉冲整流器，内置输入隔离变压器和输出隔离变压器；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3.60kVA与40kVA UPS为三进单出，后备电池18只/组；160kVA UPS为三进三出，后备电池32只/组；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4.UPS应具有电池冷启动功能及电池正负极性接反智能保护功能。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1.主机内置输入开关、输出开关和维修旁路开关：ABB、施耐德、西门子等品牌；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2.蓄电池：理士LEOCH、圣阳、风帆、天能、双登等品牌；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00F42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56CBA60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包16</w:t>
            </w:r>
          </w:p>
        </w:tc>
        <w:tc>
          <w:tcPr>
            <w:tcW w:w="1045" w:type="dxa"/>
            <w:tcBorders>
              <w:tl2br w:val="nil"/>
              <w:tr2bl w:val="nil"/>
            </w:tcBorders>
            <w:noWrap w:val="0"/>
            <w:vAlign w:val="center"/>
          </w:tcPr>
          <w:p w14:paraId="52CD544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EPS电源</w:t>
            </w:r>
          </w:p>
        </w:tc>
        <w:tc>
          <w:tcPr>
            <w:tcW w:w="2185" w:type="dxa"/>
            <w:tcBorders>
              <w:tl2br w:val="nil"/>
              <w:tr2bl w:val="nil"/>
            </w:tcBorders>
            <w:noWrap w:val="0"/>
            <w:vAlign w:val="center"/>
          </w:tcPr>
          <w:p w14:paraId="4933183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EPS电源</w:t>
            </w:r>
          </w:p>
        </w:tc>
        <w:tc>
          <w:tcPr>
            <w:tcW w:w="4826" w:type="dxa"/>
            <w:tcBorders>
              <w:tl2br w:val="nil"/>
              <w:tr2bl w:val="nil"/>
            </w:tcBorders>
            <w:noWrap w:val="0"/>
            <w:vAlign w:val="center"/>
          </w:tcPr>
          <w:p w14:paraId="0C11028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2.1、供货业绩要求：具有一个石油化工或煤化工行业EPS电源的供货业绩。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28F5637D">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1、电池备用时间：90分钟；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2、充电电源应为智能型高频开关电源。充电器内充电模块至少为两个，采用N+1热冗余方式为蓄电池充电，充电模块有良好的可互换性，可带电插拔，单个模块故障时不影响系统正常运行；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3、所有电路板和金属零件应进行防腐处理。元器件、印刷电路板采用不少于两层防腐处理，导体及回路连接端子应采用搪锡处理。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1.工业用磷酸铁锂电池组：海博、海泰林、海四达、北宁、赫芝特等；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2.双路互投开关ATS：施耐德、ABB、西门子、溯高美等；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3.直流接触器、交流馈出开关、直流刀熔开关:施耐德、ABB、西门子、伊顿等；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4.充电模块：艾默生、维谛等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5.逆变器：富士、英飞凌等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1D408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10685B6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包17</w:t>
            </w:r>
          </w:p>
        </w:tc>
        <w:tc>
          <w:tcPr>
            <w:tcW w:w="1045" w:type="dxa"/>
            <w:tcBorders>
              <w:tl2br w:val="nil"/>
              <w:tr2bl w:val="nil"/>
            </w:tcBorders>
            <w:noWrap w:val="0"/>
            <w:vAlign w:val="center"/>
          </w:tcPr>
          <w:p w14:paraId="7D2AE92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直流屏电源</w:t>
            </w:r>
          </w:p>
        </w:tc>
        <w:tc>
          <w:tcPr>
            <w:tcW w:w="2185" w:type="dxa"/>
            <w:tcBorders>
              <w:tl2br w:val="nil"/>
              <w:tr2bl w:val="nil"/>
            </w:tcBorders>
            <w:noWrap w:val="0"/>
            <w:vAlign w:val="center"/>
          </w:tcPr>
          <w:p w14:paraId="230D525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直流屏电源</w:t>
            </w:r>
          </w:p>
        </w:tc>
        <w:tc>
          <w:tcPr>
            <w:tcW w:w="4826" w:type="dxa"/>
            <w:tcBorders>
              <w:tl2br w:val="nil"/>
              <w:tr2bl w:val="nil"/>
            </w:tcBorders>
            <w:noWrap w:val="0"/>
            <w:vAlign w:val="center"/>
          </w:tcPr>
          <w:p w14:paraId="23D7D44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1、供货业绩要求：具有一个石油化工或煤化工行业直流屏电源的供货业绩。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近五年（近三年是指2020年5月1日至投标截止时间）。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35A1C8D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1.需使用高频充电机 ；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2.电池组（双电池组冗余设计，手动、自动切换，工业用磷酸铁锂电池组）；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3.直流屏双冗余电池设计，手动自动切换，蓄电池都加在线巡检仪。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1.高频充电机、监控单元、防雷器：艾默生、维谛等；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2.蓄电池巡检装置：孚充电气、湖南团胜科技等；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3.电池组：海博、海泰林、北宁、赫芝特、河南锂动等；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4.充电模块：爱默生、维谛等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5.双电源自动转换开关：施耐德、ABB、西门子、溯高美、安士缔等；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11965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4565207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包18</w:t>
            </w:r>
          </w:p>
        </w:tc>
        <w:tc>
          <w:tcPr>
            <w:tcW w:w="1045" w:type="dxa"/>
            <w:tcBorders>
              <w:tl2br w:val="nil"/>
              <w:tr2bl w:val="nil"/>
            </w:tcBorders>
            <w:noWrap w:val="0"/>
            <w:vAlign w:val="center"/>
          </w:tcPr>
          <w:p w14:paraId="7C04A17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厂前区(含办公区、操作室)照明灯(具)</w:t>
            </w:r>
          </w:p>
        </w:tc>
        <w:tc>
          <w:tcPr>
            <w:tcW w:w="2185" w:type="dxa"/>
            <w:tcBorders>
              <w:tl2br w:val="nil"/>
              <w:tr2bl w:val="nil"/>
            </w:tcBorders>
            <w:noWrap w:val="0"/>
            <w:vAlign w:val="center"/>
          </w:tcPr>
          <w:p w14:paraId="0A1C1A5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厂前区(含办公区、操作室)照明灯(具)</w:t>
            </w:r>
          </w:p>
        </w:tc>
        <w:tc>
          <w:tcPr>
            <w:tcW w:w="4826" w:type="dxa"/>
            <w:tcBorders>
              <w:tl2br w:val="nil"/>
              <w:tr2bl w:val="nil"/>
            </w:tcBorders>
            <w:noWrap w:val="0"/>
            <w:vAlign w:val="center"/>
          </w:tcPr>
          <w:p w14:paraId="5269182F">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2.1、供货业绩要求：具有一个该设备的供货业绩。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制造商的投标和代理商的投标（如允许代理商投标的，一个制造商仅能委托一个代理商参加投标）。</w:t>
            </w:r>
          </w:p>
        </w:tc>
        <w:tc>
          <w:tcPr>
            <w:tcW w:w="5504" w:type="dxa"/>
            <w:tcBorders>
              <w:tl2br w:val="nil"/>
              <w:tr2bl w:val="nil"/>
            </w:tcBorders>
            <w:noWrap w:val="0"/>
            <w:vAlign w:val="center"/>
          </w:tcPr>
          <w:p w14:paraId="08B8DD13">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1.所有灯具透明罩透明度达 90％以上；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2.光源显色性高，Ra＞80；寿命不低于50000小时，功率因数cosφ≥0.95；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3.消防照明灯具需要取得CCCF认证，防爆产品需取得防爆合格证，证书参数需要覆盖招标清单要求；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灯具所配的LED驱动电源(恒流源)通过国家CCC认证。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1.驱动电源：英飞特、茂硕MOSO、台湾明纬等；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2.开关、插座：子弹头、公牛、雷士电工、西门子、施耐德、ABB、罗格朗等。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1CEAE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3284B52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包19</w:t>
            </w:r>
          </w:p>
        </w:tc>
        <w:tc>
          <w:tcPr>
            <w:tcW w:w="1045" w:type="dxa"/>
            <w:tcBorders>
              <w:tl2br w:val="nil"/>
              <w:tr2bl w:val="nil"/>
            </w:tcBorders>
            <w:noWrap w:val="0"/>
            <w:vAlign w:val="center"/>
          </w:tcPr>
          <w:p w14:paraId="34EBCCD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防爆消防应急灯(锂电池内置);非防爆消防应急灯(锂电池内置);安全通道灯</w:t>
            </w:r>
          </w:p>
        </w:tc>
        <w:tc>
          <w:tcPr>
            <w:tcW w:w="2185" w:type="dxa"/>
            <w:tcBorders>
              <w:tl2br w:val="nil"/>
              <w:tr2bl w:val="nil"/>
            </w:tcBorders>
            <w:noWrap w:val="0"/>
            <w:vAlign w:val="center"/>
          </w:tcPr>
          <w:p w14:paraId="040C44C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防爆消防应急灯(锂电池内置);非防爆消防应急灯(锂电池内置);安全通道灯</w:t>
            </w:r>
          </w:p>
        </w:tc>
        <w:tc>
          <w:tcPr>
            <w:tcW w:w="4826" w:type="dxa"/>
            <w:tcBorders>
              <w:tl2br w:val="nil"/>
              <w:tr2bl w:val="nil"/>
            </w:tcBorders>
            <w:noWrap w:val="0"/>
            <w:vAlign w:val="center"/>
          </w:tcPr>
          <w:p w14:paraId="3EAE4B9D">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具有防爆合格证。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2.1、供货业绩要求：具有一个石油化工或冶炼行业或煤化工行业该设备的供货业绩。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1CFCC3C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1.所有灯具透明罩透明度达 90％以上；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2.光源需选用优质品牌整体封装产品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3.消防照明灯具需要取得CCCF认证，防爆产品需取得防爆合格证，证书参数需要覆盖招标清单要求；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4.配用电池：锂电池。</w:t>
            </w:r>
          </w:p>
        </w:tc>
      </w:tr>
      <w:tr w14:paraId="03684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3CCA332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包20</w:t>
            </w:r>
          </w:p>
        </w:tc>
        <w:tc>
          <w:tcPr>
            <w:tcW w:w="1045" w:type="dxa"/>
            <w:tcBorders>
              <w:tl2br w:val="nil"/>
              <w:tr2bl w:val="nil"/>
            </w:tcBorders>
            <w:noWrap w:val="0"/>
            <w:vAlign w:val="center"/>
          </w:tcPr>
          <w:p w14:paraId="6C39179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厂区照明（按照防爆防腐选型）、普通照明灯具；防爆(三防)灯具(含防爆路灯)、(非防爆)路灯灯具、航空障碍灯</w:t>
            </w:r>
          </w:p>
        </w:tc>
        <w:tc>
          <w:tcPr>
            <w:tcW w:w="2185" w:type="dxa"/>
            <w:tcBorders>
              <w:tl2br w:val="nil"/>
              <w:tr2bl w:val="nil"/>
            </w:tcBorders>
            <w:noWrap w:val="0"/>
            <w:vAlign w:val="center"/>
          </w:tcPr>
          <w:p w14:paraId="0E84FDA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厂区照明（按照防爆防腐选型）、普通照明灯具；防爆(三防)灯具(含防爆路灯)、(非防爆)路灯灯具、航空障碍灯</w:t>
            </w:r>
          </w:p>
        </w:tc>
        <w:tc>
          <w:tcPr>
            <w:tcW w:w="4826" w:type="dxa"/>
            <w:tcBorders>
              <w:tl2br w:val="nil"/>
              <w:tr2bl w:val="nil"/>
            </w:tcBorders>
            <w:noWrap w:val="0"/>
            <w:vAlign w:val="center"/>
          </w:tcPr>
          <w:p w14:paraId="4D001ED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具有防爆合格证。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2.1、供货业绩要求：具有一个石油化工或煤化工行业（单项不少于100万）该设备的供货业绩。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1F8D332E">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1、所有灯具透明罩透明度达 90％以上；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2.光源显色性高，Ra＞80；寿命不低于50000小时；功率因数要求＞0.95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3.消防照明灯具需要取得CCCF认证，防爆产品需取得防爆合格证；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灯具所配的LED驱动电源(恒流源)通过国家CCC认证。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1.非防爆、防爆LED灯灯具：科锐、欧司朗、飞利浦等品牌LED光源。驱动电源：英飞特、茂硕MOSO、台湾明纬等。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2.开关、插座：子弹头、公牛、雷士电工、西门子、施耐德、ABB、罗格朗等。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41FEC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54F0F9A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包21</w:t>
            </w:r>
          </w:p>
        </w:tc>
        <w:tc>
          <w:tcPr>
            <w:tcW w:w="1045" w:type="dxa"/>
            <w:tcBorders>
              <w:tl2br w:val="nil"/>
              <w:tr2bl w:val="nil"/>
            </w:tcBorders>
            <w:noWrap w:val="0"/>
            <w:vAlign w:val="center"/>
          </w:tcPr>
          <w:p w14:paraId="18265F5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防爆电机</w:t>
            </w:r>
          </w:p>
        </w:tc>
        <w:tc>
          <w:tcPr>
            <w:tcW w:w="2185" w:type="dxa"/>
            <w:tcBorders>
              <w:tl2br w:val="nil"/>
              <w:tr2bl w:val="nil"/>
            </w:tcBorders>
            <w:noWrap w:val="0"/>
            <w:vAlign w:val="center"/>
          </w:tcPr>
          <w:p w14:paraId="32657D8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防爆电机</w:t>
            </w:r>
          </w:p>
        </w:tc>
        <w:tc>
          <w:tcPr>
            <w:tcW w:w="4826" w:type="dxa"/>
            <w:tcBorders>
              <w:tl2br w:val="nil"/>
              <w:tr2bl w:val="nil"/>
            </w:tcBorders>
            <w:noWrap w:val="0"/>
            <w:vAlign w:val="center"/>
          </w:tcPr>
          <w:p w14:paraId="38F3B60E">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具有防爆合格证。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2.1、供货业绩要求：具有一个持续运行五年及以上石油化工或冶炼行业或煤化工行业（合同金额不少于500万）防爆电机的供货业绩。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提供经甲乙双方盖章后的供货合同(或销售合同)和使用方盖章的投运报告扫描件，合同中需体现上述相关指标，如不能体现上述相关指标的需提供相关证明材料。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制造商的投标（国产适用和进口品牌国内生产适用)；代理商的投标（进口品牌国内生产适用）(如允许代理商投标的，一个制造商仅能委托一个代理商参加投标)。</w:t>
            </w:r>
          </w:p>
        </w:tc>
        <w:tc>
          <w:tcPr>
            <w:tcW w:w="5504" w:type="dxa"/>
            <w:tcBorders>
              <w:tl2br w:val="nil"/>
              <w:tr2bl w:val="nil"/>
            </w:tcBorders>
            <w:noWrap w:val="0"/>
            <w:vAlign w:val="center"/>
          </w:tcPr>
          <w:p w14:paraId="68AD753B">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1.10KV以下电动机能效等级应满足《GB 18613-2020 电动机能效限定值及能效等级》一级能效。10KV电动机选用二级能效；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2.防爆区所有电机（成套国外品牌国内生产设备配套国外品牌国内生产电机除外）采用高效节能型防爆电机；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3.电机冷却方式：一般工况下电动机采用自扇冷却；特殊工况采用强制水冷。</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1.电动机轴承： NSK、SKF、FAG等；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2.大功率滚动轴承： Easylube等自动加油装置；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3.电机测振装置：ENVADA、上海皇巨等。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64DEC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2EA316B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包22</w:t>
            </w:r>
          </w:p>
        </w:tc>
        <w:tc>
          <w:tcPr>
            <w:tcW w:w="1045" w:type="dxa"/>
            <w:tcBorders>
              <w:tl2br w:val="nil"/>
              <w:tr2bl w:val="nil"/>
            </w:tcBorders>
            <w:noWrap w:val="0"/>
            <w:vAlign w:val="center"/>
          </w:tcPr>
          <w:p w14:paraId="3F58093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非防爆电机</w:t>
            </w:r>
          </w:p>
        </w:tc>
        <w:tc>
          <w:tcPr>
            <w:tcW w:w="2185" w:type="dxa"/>
            <w:tcBorders>
              <w:tl2br w:val="nil"/>
              <w:tr2bl w:val="nil"/>
            </w:tcBorders>
            <w:noWrap w:val="0"/>
            <w:vAlign w:val="center"/>
          </w:tcPr>
          <w:p w14:paraId="4571BE3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非防爆电机</w:t>
            </w:r>
          </w:p>
        </w:tc>
        <w:tc>
          <w:tcPr>
            <w:tcW w:w="4826" w:type="dxa"/>
            <w:tcBorders>
              <w:tl2br w:val="nil"/>
              <w:tr2bl w:val="nil"/>
            </w:tcBorders>
            <w:noWrap w:val="0"/>
            <w:vAlign w:val="center"/>
          </w:tcPr>
          <w:p w14:paraId="32151CE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2.1、供货业绩要求：具有一个石油化工或煤化工行业（合同金额不少于500万）非防爆电机的供货业绩。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制造商的投标（国产适用和进口品牌国内生产适用)；代理商的投标（进口品牌国内生产适用）(如允许代理商投标的，一个制造商仅能委托一个代理商参加投标)。</w:t>
            </w:r>
          </w:p>
        </w:tc>
        <w:tc>
          <w:tcPr>
            <w:tcW w:w="5504" w:type="dxa"/>
            <w:tcBorders>
              <w:tl2br w:val="nil"/>
              <w:tr2bl w:val="nil"/>
            </w:tcBorders>
            <w:noWrap w:val="0"/>
            <w:vAlign w:val="center"/>
          </w:tcPr>
          <w:p w14:paraId="46A0A376">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1.10KV以下电动机能效等级应满足《GB 18613-2020 电动机能效限定值及能效等级》一级能效。10KV电动机选用二级能效；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2.电机冷却方式：一般工况下电动机采用自扇冷却；特殊工况采用强制水冷。</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1.电动机轴承： NSK、SKF、FAG等；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2.大功率滚动轴承：Easylube等自动加油装置；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3.电机测振装置：ENVADA、上海皇巨等；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72E65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4534BE3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包23</w:t>
            </w:r>
          </w:p>
        </w:tc>
        <w:tc>
          <w:tcPr>
            <w:tcW w:w="1045" w:type="dxa"/>
            <w:tcBorders>
              <w:tl2br w:val="nil"/>
              <w:tr2bl w:val="nil"/>
            </w:tcBorders>
            <w:noWrap w:val="0"/>
            <w:vAlign w:val="center"/>
          </w:tcPr>
          <w:p w14:paraId="79E4FF5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铝合金桥架（槽式和梯式）</w:t>
            </w:r>
          </w:p>
        </w:tc>
        <w:tc>
          <w:tcPr>
            <w:tcW w:w="2185" w:type="dxa"/>
            <w:tcBorders>
              <w:tl2br w:val="nil"/>
              <w:tr2bl w:val="nil"/>
            </w:tcBorders>
            <w:noWrap w:val="0"/>
            <w:vAlign w:val="center"/>
          </w:tcPr>
          <w:p w14:paraId="762A0DD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铝合金桥架（槽式和梯式）</w:t>
            </w:r>
          </w:p>
        </w:tc>
        <w:tc>
          <w:tcPr>
            <w:tcW w:w="4826" w:type="dxa"/>
            <w:tcBorders>
              <w:tl2br w:val="nil"/>
              <w:tr2bl w:val="nil"/>
            </w:tcBorders>
            <w:noWrap w:val="0"/>
            <w:vAlign w:val="center"/>
          </w:tcPr>
          <w:p w14:paraId="05D44753">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2.1、供货业绩要求：具有一个石油化工或煤化工或盐化工行业（合同金额不低于300万 ）电气电缆桥架的供货业绩。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742D9BFF">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大跨距铝合金防火电缆梯架，跨距 6m，双梯边型，支承跨距为 2m，平均荷载不低于 150kg/m 或 200kg/m 或根据工程需要；内外双面连接板，同主梯架厚度，采用双排孔；</w:t>
            </w:r>
          </w:p>
        </w:tc>
      </w:tr>
      <w:tr w14:paraId="56964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6FE7DE9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包24</w:t>
            </w:r>
          </w:p>
        </w:tc>
        <w:tc>
          <w:tcPr>
            <w:tcW w:w="1045" w:type="dxa"/>
            <w:tcBorders>
              <w:tl2br w:val="nil"/>
              <w:tr2bl w:val="nil"/>
            </w:tcBorders>
            <w:noWrap w:val="0"/>
            <w:vAlign w:val="center"/>
          </w:tcPr>
          <w:p w14:paraId="4AB8A36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高分子复合桥架（槽式和梯式）</w:t>
            </w:r>
          </w:p>
        </w:tc>
        <w:tc>
          <w:tcPr>
            <w:tcW w:w="2185" w:type="dxa"/>
            <w:tcBorders>
              <w:tl2br w:val="nil"/>
              <w:tr2bl w:val="nil"/>
            </w:tcBorders>
            <w:noWrap w:val="0"/>
            <w:vAlign w:val="center"/>
          </w:tcPr>
          <w:p w14:paraId="545A187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高分子复合桥架（槽式和梯式）</w:t>
            </w:r>
          </w:p>
        </w:tc>
        <w:tc>
          <w:tcPr>
            <w:tcW w:w="4826" w:type="dxa"/>
            <w:tcBorders>
              <w:tl2br w:val="nil"/>
              <w:tr2bl w:val="nil"/>
            </w:tcBorders>
            <w:noWrap w:val="0"/>
            <w:vAlign w:val="center"/>
          </w:tcPr>
          <w:p w14:paraId="3B4EE35E">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2.1、供货业绩要求：具有一个石油化工或煤化工或盐化工行业（合同金额不低于300万 ）电气电缆桥架的供货业绩。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0C1F7F8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1.自然老化年限 ≧15年   桥架外层为高分子材料，内层为铝合金材质；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2.高分子材料氧指数≥40%  ；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3.耐撞击能量桥架应能够承受 GB/T2423.46 1997 中表 2 碰撞能量为 10J 的撞击。</w:t>
            </w:r>
          </w:p>
        </w:tc>
      </w:tr>
      <w:tr w14:paraId="49ED7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4AABC7E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包25</w:t>
            </w:r>
          </w:p>
        </w:tc>
        <w:tc>
          <w:tcPr>
            <w:tcW w:w="1045" w:type="dxa"/>
            <w:tcBorders>
              <w:tl2br w:val="nil"/>
              <w:tr2bl w:val="nil"/>
            </w:tcBorders>
            <w:noWrap w:val="0"/>
            <w:vAlign w:val="center"/>
          </w:tcPr>
          <w:p w14:paraId="2F39C26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不锈钢电缆桥架（槽式和梯式）</w:t>
            </w:r>
          </w:p>
        </w:tc>
        <w:tc>
          <w:tcPr>
            <w:tcW w:w="2185" w:type="dxa"/>
            <w:tcBorders>
              <w:tl2br w:val="nil"/>
              <w:tr2bl w:val="nil"/>
            </w:tcBorders>
            <w:noWrap w:val="0"/>
            <w:vAlign w:val="center"/>
          </w:tcPr>
          <w:p w14:paraId="0EEC600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不锈钢电缆桥架（槽式和梯式）</w:t>
            </w:r>
          </w:p>
        </w:tc>
        <w:tc>
          <w:tcPr>
            <w:tcW w:w="4826" w:type="dxa"/>
            <w:tcBorders>
              <w:tl2br w:val="nil"/>
              <w:tr2bl w:val="nil"/>
            </w:tcBorders>
            <w:noWrap w:val="0"/>
            <w:vAlign w:val="center"/>
          </w:tcPr>
          <w:p w14:paraId="08F9B29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2.1、供货业绩要求：具有一个石油化工或煤化工或盐化工行业（合同金额不低于300万 ）电气电缆桥架的供货业绩。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0EFD61C9">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1.不锈钢桥架选用304材质，表面采用钝化工艺处理；选用的不锈钢没有磁性；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2.桥架的额定均布载荷：桥架除包括其本身的重量外，还包括其所能承受的电线电缆的机械负载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桥架宽度B（mm） 载荷能力B≥600 不小于C级（2.6kN/m）200≤B＜600 不小于B级（1.8kN/m）；</w:t>
            </w:r>
          </w:p>
        </w:tc>
      </w:tr>
      <w:tr w14:paraId="5145A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47A9EA8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包26</w:t>
            </w:r>
          </w:p>
        </w:tc>
        <w:tc>
          <w:tcPr>
            <w:tcW w:w="1045" w:type="dxa"/>
            <w:tcBorders>
              <w:tl2br w:val="nil"/>
              <w:tr2bl w:val="nil"/>
            </w:tcBorders>
            <w:noWrap w:val="0"/>
            <w:vAlign w:val="center"/>
          </w:tcPr>
          <w:p w14:paraId="2E60392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（应急）柴油发电机组</w:t>
            </w:r>
          </w:p>
        </w:tc>
        <w:tc>
          <w:tcPr>
            <w:tcW w:w="2185" w:type="dxa"/>
            <w:tcBorders>
              <w:tl2br w:val="nil"/>
              <w:tr2bl w:val="nil"/>
            </w:tcBorders>
            <w:noWrap w:val="0"/>
            <w:vAlign w:val="center"/>
          </w:tcPr>
          <w:p w14:paraId="36C96EA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（应急）柴油发电机组</w:t>
            </w:r>
          </w:p>
        </w:tc>
        <w:tc>
          <w:tcPr>
            <w:tcW w:w="4826" w:type="dxa"/>
            <w:tcBorders>
              <w:tl2br w:val="nil"/>
              <w:tr2bl w:val="nil"/>
            </w:tcBorders>
            <w:noWrap w:val="0"/>
            <w:vAlign w:val="center"/>
          </w:tcPr>
          <w:p w14:paraId="36780ECE">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2.1、供货业绩要求：具有一个功率为1600KW及以上（应急）柴油发电机组的供货业绩。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3.1本项目进口品牌国内生产品牌接受：制造商的投标和代理商的投标（如允许代理商投标的，一个制造商仅能委托一个代理商参加投标）。</w:t>
            </w:r>
          </w:p>
        </w:tc>
        <w:tc>
          <w:tcPr>
            <w:tcW w:w="5504" w:type="dxa"/>
            <w:tcBorders>
              <w:tl2br w:val="nil"/>
              <w:tr2bl w:val="nil"/>
            </w:tcBorders>
            <w:noWrap w:val="0"/>
            <w:vAlign w:val="center"/>
          </w:tcPr>
          <w:p w14:paraId="425CBAE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1.机组要求为一体机组；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2.发电机组：机组主要由原厂生产的柴油发动机、发电机、控制器等组成；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3.测量显示功能：为实现全自动启停机及保护功能，机组标配全自动智能型控制器；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辅助供油系统日用油箱：发电机油箱容量为8小时满载容量；</w:t>
            </w:r>
          </w:p>
        </w:tc>
      </w:tr>
      <w:tr w14:paraId="51422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4555BB5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包27</w:t>
            </w:r>
          </w:p>
        </w:tc>
        <w:tc>
          <w:tcPr>
            <w:tcW w:w="1045" w:type="dxa"/>
            <w:tcBorders>
              <w:tl2br w:val="nil"/>
              <w:tr2bl w:val="nil"/>
            </w:tcBorders>
            <w:noWrap w:val="0"/>
            <w:vAlign w:val="center"/>
          </w:tcPr>
          <w:p w14:paraId="47ED2A9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低压防爆辅材</w:t>
            </w:r>
          </w:p>
        </w:tc>
        <w:tc>
          <w:tcPr>
            <w:tcW w:w="2185" w:type="dxa"/>
            <w:tcBorders>
              <w:tl2br w:val="nil"/>
              <w:tr2bl w:val="nil"/>
            </w:tcBorders>
            <w:noWrap w:val="0"/>
            <w:vAlign w:val="center"/>
          </w:tcPr>
          <w:p w14:paraId="31F44B2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(含非防爆)检修电源箱、检修电源插座、照明电源箱、操作柱、防爆插销、防爆磁力启动器、防爆断路器、接线箱，接线盒等；防爆穿线盒、绕型管、防爆活接头等管件。</w:t>
            </w:r>
          </w:p>
        </w:tc>
        <w:tc>
          <w:tcPr>
            <w:tcW w:w="4826" w:type="dxa"/>
            <w:tcBorders>
              <w:tl2br w:val="nil"/>
              <w:tr2bl w:val="nil"/>
            </w:tcBorders>
            <w:noWrap w:val="0"/>
            <w:vAlign w:val="center"/>
          </w:tcPr>
          <w:p w14:paraId="744FC44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1、特定资格要求：具有防爆合格证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2.1、供货业绩要求：具有一个石油化工行业（合同金额不低于200万）该设备的供货业绩，需提供合同。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589104B8">
            <w:pPr>
              <w:keepNext w:val="0"/>
              <w:keepLines w:val="0"/>
              <w:widowControl/>
              <w:suppressLineNumbers w:val="0"/>
              <w:spacing w:after="240" w:afterAutospacing="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1.防爆及三防配电箱的类型、参数、额定值应符合技术文件内的相关文件；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2.防爆配电箱应取得防爆合格证及防爆 CCC 认证；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配电箱进线回路要求配适合铠装电缆方式引入的防爆电缆夹紧密封接头，材质为黄铜镀镍或304不锈钢，所有防爆配电箱采用电缆布线。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1.接线端子：魏德米勒、菲尼克斯、ABB、西门子、施耐德等；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2.浪涌保护器：Sentaur、YOA、嘉顿威尔、安捷迅、伊顿、创湃等；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3.微型断路器(MCB)、微型漏电断路器(RCCB)、接触器：施耐德、 ABB、西门子等；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4.双电源自动切换开关：施耐德、ABB、西门子、溯高美；</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56F31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2B661C2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包28</w:t>
            </w:r>
          </w:p>
        </w:tc>
        <w:tc>
          <w:tcPr>
            <w:tcW w:w="1045" w:type="dxa"/>
            <w:tcBorders>
              <w:tl2br w:val="nil"/>
              <w:tr2bl w:val="nil"/>
            </w:tcBorders>
            <w:noWrap w:val="0"/>
            <w:vAlign w:val="center"/>
          </w:tcPr>
          <w:p w14:paraId="2F4B85D5">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高压动态无功功率补偿装置（柜）（各10kv分站使用)</w:t>
            </w:r>
          </w:p>
        </w:tc>
        <w:tc>
          <w:tcPr>
            <w:tcW w:w="2185" w:type="dxa"/>
            <w:tcBorders>
              <w:tl2br w:val="nil"/>
              <w:tr2bl w:val="nil"/>
            </w:tcBorders>
            <w:noWrap w:val="0"/>
            <w:vAlign w:val="center"/>
          </w:tcPr>
          <w:p w14:paraId="49FE90C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高压动态无功功率补偿装置（柜）（各10kv分站使用)</w:t>
            </w:r>
          </w:p>
        </w:tc>
        <w:tc>
          <w:tcPr>
            <w:tcW w:w="4826" w:type="dxa"/>
            <w:tcBorders>
              <w:tl2br w:val="nil"/>
              <w:tr2bl w:val="nil"/>
            </w:tcBorders>
            <w:noWrap w:val="0"/>
            <w:vAlign w:val="center"/>
          </w:tcPr>
          <w:p w14:paraId="5BE25B2E">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2.1、供货业绩要求：具有一个合同额不少于50万该设备的供货业绩。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4F5DD47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1、系统标准电压：10kV；额定频率：50Hz；电抗率：6%；相数：3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2、动态补偿快速投切响应时间：小于20ms</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3、高压动态无功功率补偿装置采用高压TSC动态无功补偿装置（以下简称TSC）和HVC自动无功补偿装置（以下简称HVC）相结合的方案;4.TSC部分补偿容量占比不能低于总补偿容量30%；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1、晶闸管：西门康、ABB、IXYS等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2、并联电容器（BAM系列全膜介质）：GE、瀚尔爵 、诺基亚等；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3、干式铁芯串联电抗器：SUNTEN、哈大电气等；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4、真空接触器：ABB、西门子、施耐德等；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5、电压互感器：大连二互、大连一互、ABB、施耐德、西门子等；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452CF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00F246D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包29</w:t>
            </w:r>
          </w:p>
        </w:tc>
        <w:tc>
          <w:tcPr>
            <w:tcW w:w="1045" w:type="dxa"/>
            <w:tcBorders>
              <w:tl2br w:val="nil"/>
              <w:tr2bl w:val="nil"/>
            </w:tcBorders>
            <w:noWrap w:val="0"/>
            <w:vAlign w:val="center"/>
          </w:tcPr>
          <w:p w14:paraId="6E9E7CA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（化工总站）10kv高压电容（柜）</w:t>
            </w:r>
          </w:p>
        </w:tc>
        <w:tc>
          <w:tcPr>
            <w:tcW w:w="2185" w:type="dxa"/>
            <w:tcBorders>
              <w:tl2br w:val="nil"/>
              <w:tr2bl w:val="nil"/>
            </w:tcBorders>
            <w:noWrap w:val="0"/>
            <w:vAlign w:val="center"/>
          </w:tcPr>
          <w:p w14:paraId="50EEEE6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（化工总站）10kv高压电容（柜）</w:t>
            </w:r>
          </w:p>
        </w:tc>
        <w:tc>
          <w:tcPr>
            <w:tcW w:w="4826" w:type="dxa"/>
            <w:tcBorders>
              <w:tl2br w:val="nil"/>
              <w:tr2bl w:val="nil"/>
            </w:tcBorders>
            <w:noWrap w:val="0"/>
            <w:vAlign w:val="center"/>
          </w:tcPr>
          <w:p w14:paraId="23E5C8BA">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2.1、供货业绩要求：具有一个石化行业或煤化工行业10kv高压电容（柜）的供货业绩。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249B036F">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1、成套装置采用单星型接线方式，保护方式为开口三角电压保护。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2、稳态过电流:装置能在方均根据值不超过1.1×1.30In的电流连续运行。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4、稳态过电压:装置的连续运行电压为1.05UN。</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1、干式铁芯串联电抗器：同垚电气，博耳电力，新能动力等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2、固封极柱2000A及以上（选用合资品牌）：西门子 、ABB  、施耐德 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固封极柱2000A以下：厦门华电 、长城 、伊顿 、施耐德 、西门子 、ABB  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43D78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3BA6D10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包30</w:t>
            </w:r>
          </w:p>
        </w:tc>
        <w:tc>
          <w:tcPr>
            <w:tcW w:w="1045" w:type="dxa"/>
            <w:tcBorders>
              <w:tl2br w:val="nil"/>
              <w:tr2bl w:val="nil"/>
            </w:tcBorders>
            <w:noWrap w:val="0"/>
            <w:vAlign w:val="center"/>
          </w:tcPr>
          <w:p w14:paraId="2A11E693">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低压有源滤波自动无功补偿系统AST</w:t>
            </w:r>
          </w:p>
        </w:tc>
        <w:tc>
          <w:tcPr>
            <w:tcW w:w="2185" w:type="dxa"/>
            <w:tcBorders>
              <w:tl2br w:val="nil"/>
              <w:tr2bl w:val="nil"/>
            </w:tcBorders>
            <w:noWrap w:val="0"/>
            <w:vAlign w:val="center"/>
          </w:tcPr>
          <w:p w14:paraId="2294A96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低压有源滤波自动无功补偿系统AST</w:t>
            </w:r>
          </w:p>
        </w:tc>
        <w:tc>
          <w:tcPr>
            <w:tcW w:w="4826" w:type="dxa"/>
            <w:tcBorders>
              <w:tl2br w:val="nil"/>
              <w:tr2bl w:val="nil"/>
            </w:tcBorders>
            <w:noWrap w:val="0"/>
            <w:vAlign w:val="center"/>
          </w:tcPr>
          <w:p w14:paraId="7F5328C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2.1、供货业绩要求：具有一个合同金额不少于150万低压有源滤波自动无功补偿系统AST的业绩。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3BD9198C">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1、采用SVG模块和电容、电抗、晶闸管无功补偿混合补偿的方式，分配方式电容电抗器组补偿70%，SVG模块补偿30%。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2、AST装置有源产品和与无源产品应采用同一控制器控制;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3、SVG模块和电容、电抗、晶闸管无功补偿应采用同一品牌产品；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1、可控硅：西门康(SEMIKRON)、英飞凌、东芝三菱等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2、电流互感器、电压互感器：大连二互、大连一互、ABB、施耐德、西门子等。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3、SVG模块和电容器：黎德、诺基亚、督凯提等；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4、APF有源滤波器：班贝格、黎德、台湾土林、诺基亚、督凯提等；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578A2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3663F60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包31</w:t>
            </w:r>
          </w:p>
        </w:tc>
        <w:tc>
          <w:tcPr>
            <w:tcW w:w="1045" w:type="dxa"/>
            <w:tcBorders>
              <w:tl2br w:val="nil"/>
              <w:tr2bl w:val="nil"/>
            </w:tcBorders>
            <w:noWrap w:val="0"/>
            <w:vAlign w:val="center"/>
          </w:tcPr>
          <w:p w14:paraId="2F1815E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10KV中性点非线性电阻接地选线柜</w:t>
            </w:r>
          </w:p>
        </w:tc>
        <w:tc>
          <w:tcPr>
            <w:tcW w:w="2185" w:type="dxa"/>
            <w:tcBorders>
              <w:tl2br w:val="nil"/>
              <w:tr2bl w:val="nil"/>
            </w:tcBorders>
            <w:noWrap w:val="0"/>
            <w:vAlign w:val="center"/>
          </w:tcPr>
          <w:p w14:paraId="00A9F2A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10KV中性点非线性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电阻接地选线柜</w:t>
            </w:r>
          </w:p>
        </w:tc>
        <w:tc>
          <w:tcPr>
            <w:tcW w:w="4826" w:type="dxa"/>
            <w:tcBorders>
              <w:tl2br w:val="nil"/>
              <w:tr2bl w:val="nil"/>
            </w:tcBorders>
            <w:noWrap w:val="0"/>
            <w:vAlign w:val="center"/>
          </w:tcPr>
          <w:p w14:paraId="28B2E20E">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2.1、供货业绩要求：具有一个合同金额不小于100万的10KV中性点非线性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电阻接地选线柜的供货业绩。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1C992B7D">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1、系统电压：10.5kV 系统最高电压：12kV 系统额定频率：50Hz 系统接地方式：非线性电阻接地系统；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2、10kV中性点接地非线性电阻柜标称容量不小于6000kJ 若发生故障，引发高倍过电压时，中性点电压会同时升高，非线性电阻立即响应而导通，将电压限制在设定范围内，系统的过电压应被限制在2 倍以下。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3、当发生永久性接地时，非线性电阻保持相电压水平，电阻中流过的电流较小，可至少维持运行2小时；装置具备故障接地选线功能，可以通过选线对故障馈线进行延时切除或快速切除。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4、装置采用无按键全触摸、全色彩组态大尺寸屏，最少记录100次接地故障，主控系统采用嵌入式系统，32位高速处理器芯片。中性点电流测量误差&lt;2%，温度测量精度&lt;2%，工频耐受电压≥2.16kV。</w:t>
            </w:r>
          </w:p>
        </w:tc>
      </w:tr>
      <w:tr w14:paraId="4CBC5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767509E4">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包32</w:t>
            </w:r>
          </w:p>
        </w:tc>
        <w:tc>
          <w:tcPr>
            <w:tcW w:w="1045" w:type="dxa"/>
            <w:tcBorders>
              <w:tl2br w:val="nil"/>
              <w:tr2bl w:val="nil"/>
            </w:tcBorders>
            <w:noWrap w:val="0"/>
            <w:vAlign w:val="center"/>
          </w:tcPr>
          <w:p w14:paraId="5546D6B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过电压抑制柜</w:t>
            </w:r>
          </w:p>
        </w:tc>
        <w:tc>
          <w:tcPr>
            <w:tcW w:w="2185" w:type="dxa"/>
            <w:tcBorders>
              <w:tl2br w:val="nil"/>
              <w:tr2bl w:val="nil"/>
            </w:tcBorders>
            <w:noWrap w:val="0"/>
            <w:vAlign w:val="center"/>
          </w:tcPr>
          <w:p w14:paraId="304D3CC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过电压抑制柜</w:t>
            </w:r>
          </w:p>
        </w:tc>
        <w:tc>
          <w:tcPr>
            <w:tcW w:w="4826" w:type="dxa"/>
            <w:tcBorders>
              <w:tl2br w:val="nil"/>
              <w:tr2bl w:val="nil"/>
            </w:tcBorders>
            <w:noWrap w:val="0"/>
            <w:vAlign w:val="center"/>
          </w:tcPr>
          <w:p w14:paraId="0D475927">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2.1、供货业绩要求：具有一个过电压抑制柜的供货业绩。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684620DC">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1、柜体应采用标准高压开关柜的壳体，选用优质敷铝锌板厚度不小于2.0mm。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装置应能根据用户的系统参数进行设计生产，装置内需采用专用过电压吸收装置能够消除系统过电压保护的死区，可抑制和吸收系统过电压，装置需采用抗饱和电压互感器，取代了PT柜，为了消除系统的铁磁谐振，装置需采用“磁悬浮”消谐技术，从根本上抑制了系统铁磁谐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3、装置微机控制单元需采用模块化设计，结构紧凑，技术先进，高速DSP核心处理器使运算实时性运算功能，需具有失电、过电压、欠电压、谐振和故障报警功能，并能实时显示系统的相线电压和开口电压。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4、型式试验、出厂试验等按 GB、DL等相关标准规定执行。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1.电流互感器、电压互感器：大连二互、大连一互、ABB、施耐德、西门子等。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2.10KV中置柜组合避雷器：平高东芝、西安金叶 、SHK 、抚瓷 、神电等。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7E83F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0F5A4F2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包33</w:t>
            </w:r>
          </w:p>
        </w:tc>
        <w:tc>
          <w:tcPr>
            <w:tcW w:w="1045" w:type="dxa"/>
            <w:tcBorders>
              <w:tl2br w:val="nil"/>
              <w:tr2bl w:val="nil"/>
            </w:tcBorders>
            <w:noWrap w:val="0"/>
            <w:vAlign w:val="center"/>
          </w:tcPr>
          <w:p w14:paraId="3DBD9C9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10kV电网故障智能综合处理系统成套柜(含消弧线圈)</w:t>
            </w:r>
          </w:p>
        </w:tc>
        <w:tc>
          <w:tcPr>
            <w:tcW w:w="2185" w:type="dxa"/>
            <w:tcBorders>
              <w:tl2br w:val="nil"/>
              <w:tr2bl w:val="nil"/>
            </w:tcBorders>
            <w:noWrap w:val="0"/>
            <w:vAlign w:val="center"/>
          </w:tcPr>
          <w:p w14:paraId="104E55E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10kV电网故障智能综合处理系统成套柜(含消弧线圈)</w:t>
            </w:r>
          </w:p>
        </w:tc>
        <w:tc>
          <w:tcPr>
            <w:tcW w:w="4826" w:type="dxa"/>
            <w:tcBorders>
              <w:tl2br w:val="nil"/>
              <w:tr2bl w:val="nil"/>
            </w:tcBorders>
            <w:noWrap w:val="0"/>
            <w:vAlign w:val="center"/>
          </w:tcPr>
          <w:p w14:paraId="71CA551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2.1、供货业绩要求：具有一个合同金额不少于200万该设备的供货业绩。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79B9A16C">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1、单相接地故障综合处理系统由2台柜体组成：脉冲选线柜、故障处理柜。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2、装置具有接地选线功能，当系统发生单相接地故障时，装置选线在30ms内完成，同时有报警信号输出。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3、装置同时具备脉冲式消弧线圈和软开关消弧两种故障处理功能；能够根据单相 接地故障的特性，快速有效的选择消弧处理方式，并且能够配合使用。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1.电流互感器、电压互感器：大连二互、大连一互、ABB、施耐德、西门子等。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594BB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77ECDA6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包34</w:t>
            </w:r>
          </w:p>
        </w:tc>
        <w:tc>
          <w:tcPr>
            <w:tcW w:w="1045" w:type="dxa"/>
            <w:tcBorders>
              <w:tl2br w:val="nil"/>
              <w:tr2bl w:val="nil"/>
            </w:tcBorders>
            <w:noWrap w:val="0"/>
            <w:vAlign w:val="center"/>
          </w:tcPr>
          <w:p w14:paraId="3EA9D5C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一体化快速切换成套装置</w:t>
            </w:r>
          </w:p>
        </w:tc>
        <w:tc>
          <w:tcPr>
            <w:tcW w:w="2185" w:type="dxa"/>
            <w:tcBorders>
              <w:tl2br w:val="nil"/>
              <w:tr2bl w:val="nil"/>
            </w:tcBorders>
            <w:noWrap w:val="0"/>
            <w:vAlign w:val="center"/>
          </w:tcPr>
          <w:p w14:paraId="5EA18BD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一体化快速切换成套装置</w:t>
            </w:r>
          </w:p>
        </w:tc>
        <w:tc>
          <w:tcPr>
            <w:tcW w:w="4826" w:type="dxa"/>
            <w:tcBorders>
              <w:tl2br w:val="nil"/>
              <w:tr2bl w:val="nil"/>
            </w:tcBorders>
            <w:noWrap w:val="0"/>
            <w:vAlign w:val="center"/>
          </w:tcPr>
          <w:p w14:paraId="57159AB6">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2.1、供货业绩要求：具有一个持续运行三年及以上一体化快速切换成套装置的供货业绩。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提供经甲乙双方盖章后的供货合同(或销售合同)和使用方盖章的投运报告扫描件，合同中需体现上述相关指标，如不能体现上述相关指标的需提供相关证明材料。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1E578F15">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1、站内进线及母联位置采用一体化双电源快速切换成套装置。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2、HTB涡流斥力高速真空断路器：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装置采用三相一体式单机构涡流斥力操作驱动机构。实现分闸小于5ms，合闸小于12ms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同相及相间断口间分/合闸不同期不大于2ms。</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元器件要求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1、电流互感器、电压互感器：大连二互、大连一互、ABB、施耐德、西门子等。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参考以上同档次或高于所列品牌技术标准的材料选择。不具有指定或唯一的意思表示。</w:t>
            </w:r>
          </w:p>
        </w:tc>
      </w:tr>
      <w:tr w14:paraId="4415D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1712F85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包35</w:t>
            </w:r>
          </w:p>
        </w:tc>
        <w:tc>
          <w:tcPr>
            <w:tcW w:w="1045" w:type="dxa"/>
            <w:tcBorders>
              <w:tl2br w:val="nil"/>
              <w:tr2bl w:val="nil"/>
            </w:tcBorders>
            <w:noWrap w:val="0"/>
            <w:vAlign w:val="center"/>
          </w:tcPr>
          <w:p w14:paraId="07EC431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10kV分布式小电流接地选线系统</w:t>
            </w:r>
          </w:p>
        </w:tc>
        <w:tc>
          <w:tcPr>
            <w:tcW w:w="2185" w:type="dxa"/>
            <w:tcBorders>
              <w:tl2br w:val="nil"/>
              <w:tr2bl w:val="nil"/>
            </w:tcBorders>
            <w:noWrap w:val="0"/>
            <w:vAlign w:val="center"/>
          </w:tcPr>
          <w:p w14:paraId="17A2AB4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10kV分布式小电流接地选线系统</w:t>
            </w:r>
          </w:p>
        </w:tc>
        <w:tc>
          <w:tcPr>
            <w:tcW w:w="4826" w:type="dxa"/>
            <w:tcBorders>
              <w:tl2br w:val="nil"/>
              <w:tr2bl w:val="nil"/>
            </w:tcBorders>
            <w:noWrap w:val="0"/>
            <w:vAlign w:val="center"/>
          </w:tcPr>
          <w:p w14:paraId="269BDE2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2.1、供货业绩要求：具有一个10kV分布式小电流接地选线系统的供货业绩。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2B545D4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采用“多重判据模糊推论综合选线”方法；综合采用“基波比幅比相算法”、“首半波算法”、“五次谐波算法”、“功率方向算法”等多重判据，用模糊理论与运行经验相结合的方法进行数据融合，从而实现综合选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2、分布式结构：由选线主机、数据采集分支器、高精度零序电流互感器构成。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3、可同时检测4段母线，并能够分别显示每段母线所发生的接地线路；最大监测回路能够满足90条出线需求。</w:t>
            </w:r>
          </w:p>
        </w:tc>
      </w:tr>
      <w:tr w14:paraId="73BA7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4D287BCF">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包36</w:t>
            </w:r>
          </w:p>
        </w:tc>
        <w:tc>
          <w:tcPr>
            <w:tcW w:w="1045" w:type="dxa"/>
            <w:tcBorders>
              <w:tl2br w:val="nil"/>
              <w:tr2bl w:val="nil"/>
            </w:tcBorders>
            <w:noWrap w:val="0"/>
            <w:vAlign w:val="center"/>
          </w:tcPr>
          <w:p w14:paraId="70B97F0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高压电机绝缘智能测试系统</w:t>
            </w:r>
          </w:p>
        </w:tc>
        <w:tc>
          <w:tcPr>
            <w:tcW w:w="2185" w:type="dxa"/>
            <w:tcBorders>
              <w:tl2br w:val="nil"/>
              <w:tr2bl w:val="nil"/>
            </w:tcBorders>
            <w:noWrap w:val="0"/>
            <w:vAlign w:val="center"/>
          </w:tcPr>
          <w:p w14:paraId="2EDAB31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高压电机绝缘智能测试系统</w:t>
            </w:r>
          </w:p>
        </w:tc>
        <w:tc>
          <w:tcPr>
            <w:tcW w:w="4826" w:type="dxa"/>
            <w:tcBorders>
              <w:tl2br w:val="nil"/>
              <w:tr2bl w:val="nil"/>
            </w:tcBorders>
            <w:noWrap w:val="0"/>
            <w:vAlign w:val="center"/>
          </w:tcPr>
          <w:p w14:paraId="4DBA6093">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b/>
                <w:bCs/>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2.1、供货业绩要求：具有一个高压电机绝缘智能测试系统的供货业绩。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近五年（近五年是指2020年5月1日至投标截止时间）。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3、本项目接受：</w:t>
            </w:r>
            <w:r>
              <w:rPr>
                <w:rFonts w:hint="eastAsia" w:ascii="宋体" w:hAnsi="宋体" w:eastAsia="宋体" w:cs="宋体"/>
                <w:i w:val="0"/>
                <w:iCs w:val="0"/>
                <w:color w:val="000000"/>
                <w:kern w:val="0"/>
                <w:sz w:val="18"/>
                <w:szCs w:val="18"/>
                <w:highlight w:val="none"/>
                <w:u w:val="none"/>
                <w:lang w:val="en-US" w:eastAsia="zh-CN" w:bidi="ar"/>
              </w:rPr>
              <w:t>制造商的投标。</w:t>
            </w:r>
          </w:p>
        </w:tc>
        <w:tc>
          <w:tcPr>
            <w:tcW w:w="5504" w:type="dxa"/>
            <w:tcBorders>
              <w:tl2br w:val="nil"/>
              <w:tr2bl w:val="nil"/>
            </w:tcBorders>
            <w:noWrap w:val="0"/>
            <w:vAlign w:val="center"/>
          </w:tcPr>
          <w:p w14:paraId="60A873F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技术要求</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1、适用范围：6～10kV系统；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2、检测回路数：20路,（可扩）；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3、测试电压：-2500V;</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4、测量范围：0M～1000G,同时可以进行吸收比。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5、功能要求：就地/远方测试功能、闭锁功能、报警功能、急停功能、自动显示功能、记忆功能、系统精度检查功能；</w:t>
            </w:r>
          </w:p>
        </w:tc>
      </w:tr>
    </w:tbl>
    <w:p w14:paraId="15F30AD7">
      <w:pPr>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1"/>
          <w:szCs w:val="21"/>
        </w:rPr>
      </w:pPr>
      <w:bookmarkStart w:id="7" w:name="_GoBack"/>
      <w:bookmarkEnd w:id="7"/>
    </w:p>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7166">
    <w:pPr>
      <w:pStyle w:val="5"/>
      <w:ind w:left="210" w:leftChars="100" w:right="210" w:rightChars="100"/>
      <w:jc w:val="right"/>
      <w:rPr>
        <w:rFonts w:hint="eastAsia" w:ascii="宋体" w:hAnsi="宋体" w:eastAsia="宋体" w:cs="Times New Roman"/>
        <w:sz w:val="28"/>
        <w:szCs w:val="28"/>
        <w:lang w:eastAsia="zh-CN"/>
      </w:rPr>
    </w:pPr>
    <w:r>
      <w:rPr>
        <w:rFonts w:ascii="Times New Roman" w:hAnsi="Times New Roman" w:eastAsia="宋体" w:cs="Times New Roman"/>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BB5042">
                          <w:pPr>
                            <w:pStyle w:val="5"/>
                            <w:ind w:left="210" w:leftChars="100" w:right="210" w:rightChars="100"/>
                            <w:jc w:val="right"/>
                            <w:rPr>
                              <w:rFonts w:ascii="Times New Roman" w:hAnsi="Times New Roman" w:eastAsia="宋体" w:cs="Times New Roman"/>
                            </w:rPr>
                          </w:pPr>
                          <w:r>
                            <w:rPr>
                              <w:rFonts w:hint="eastAsia" w:ascii="宋体" w:hAnsi="宋体" w:eastAsia="宋体" w:cs="Times New Roman"/>
                              <w:sz w:val="28"/>
                              <w:szCs w:val="28"/>
                              <w:lang w:eastAsia="zh-CN"/>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21</w:t>
                          </w:r>
                          <w:r>
                            <w:rPr>
                              <w:rFonts w:ascii="宋体" w:hAnsi="宋体" w:eastAsia="宋体" w:cs="Times New Roman"/>
                              <w:sz w:val="28"/>
                              <w:szCs w:val="28"/>
                            </w:rPr>
                            <w:fldChar w:fldCharType="end"/>
                          </w:r>
                          <w:r>
                            <w:rPr>
                              <w:rFonts w:hint="eastAsia" w:ascii="宋体" w:hAnsi="宋体" w:eastAsia="宋体"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4BB5042">
                    <w:pPr>
                      <w:pStyle w:val="5"/>
                      <w:ind w:left="210" w:leftChars="100" w:right="210" w:rightChars="100"/>
                      <w:jc w:val="right"/>
                      <w:rPr>
                        <w:rFonts w:ascii="Times New Roman" w:hAnsi="Times New Roman" w:eastAsia="宋体" w:cs="Times New Roman"/>
                      </w:rPr>
                    </w:pPr>
                    <w:r>
                      <w:rPr>
                        <w:rFonts w:hint="eastAsia" w:ascii="宋体" w:hAnsi="宋体" w:eastAsia="宋体" w:cs="Times New Roman"/>
                        <w:sz w:val="28"/>
                        <w:szCs w:val="28"/>
                        <w:lang w:eastAsia="zh-CN"/>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21</w:t>
                    </w:r>
                    <w:r>
                      <w:rPr>
                        <w:rFonts w:ascii="宋体" w:hAnsi="宋体" w:eastAsia="宋体" w:cs="Times New Roman"/>
                        <w:sz w:val="28"/>
                        <w:szCs w:val="28"/>
                      </w:rPr>
                      <w:fldChar w:fldCharType="end"/>
                    </w:r>
                    <w:r>
                      <w:rPr>
                        <w:rFonts w:hint="eastAsia" w:ascii="宋体" w:hAnsi="宋体" w:eastAsia="宋体"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B66CE"/>
    <w:rsid w:val="1C7E3A84"/>
    <w:rsid w:val="22E8337F"/>
    <w:rsid w:val="586B66CE"/>
    <w:rsid w:val="79DE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widowControl w:val="0"/>
      <w:spacing w:before="240" w:after="60"/>
      <w:jc w:val="both"/>
      <w:outlineLvl w:val="0"/>
    </w:pPr>
    <w:rPr>
      <w:rFonts w:ascii="Cambria" w:hAnsi="Cambria" w:eastAsia="宋体" w:cs="Times New Roman"/>
      <w:b/>
      <w:bCs/>
      <w:kern w:val="32"/>
      <w:sz w:val="32"/>
      <w:szCs w:val="32"/>
      <w:lang w:val="en-US" w:eastAsia="zh-CN" w:bidi="ar-SA"/>
    </w:rPr>
  </w:style>
  <w:style w:type="paragraph" w:styleId="3">
    <w:name w:val="heading 2"/>
    <w:next w:val="1"/>
    <w:qFormat/>
    <w:uiPriority w:val="0"/>
    <w:pPr>
      <w:keepNext/>
      <w:keepLines/>
      <w:widowControl w:val="0"/>
      <w:spacing w:before="260" w:after="260" w:line="413" w:lineRule="auto"/>
      <w:jc w:val="both"/>
      <w:outlineLvl w:val="1"/>
    </w:pPr>
    <w:rPr>
      <w:rFonts w:ascii="Cambria" w:hAnsi="Cambria" w:eastAsia="宋体" w:cs="Times New Roman"/>
      <w:b/>
      <w:bCs/>
      <w:kern w:val="2"/>
      <w:sz w:val="32"/>
      <w:szCs w:val="32"/>
      <w:lang w:val="en-US" w:eastAsia="zh-CN" w:bidi="ar-SA"/>
    </w:rPr>
  </w:style>
  <w:style w:type="paragraph" w:styleId="4">
    <w:name w:val="heading 3"/>
    <w:next w:val="1"/>
    <w:qFormat/>
    <w:uiPriority w:val="0"/>
    <w:pPr>
      <w:widowControl/>
      <w:spacing w:line="360" w:lineRule="auto"/>
      <w:jc w:val="both"/>
      <w:outlineLvl w:val="2"/>
    </w:pPr>
    <w:rPr>
      <w:rFonts w:ascii="Times New Roman" w:hAnsi="Times New Roman" w:eastAsia="宋体" w:cs="Times New Roman"/>
      <w:b/>
      <w:bCs/>
      <w:kern w:val="0"/>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table" w:styleId="7">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qFormat/>
    <w:uiPriority w:val="0"/>
    <w:rPr>
      <w:rFonts w:hint="default" w:ascii="仿宋_GB2312" w:eastAsia="仿宋_GB2312" w:cs="仿宋_GB2312"/>
      <w:color w:val="000000"/>
      <w:sz w:val="24"/>
      <w:szCs w:val="24"/>
      <w:u w:val="none"/>
    </w:rPr>
  </w:style>
  <w:style w:type="character" w:customStyle="1" w:styleId="10">
    <w:name w:val="font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5558</Words>
  <Characters>6172</Characters>
  <Lines>0</Lines>
  <Paragraphs>0</Paragraphs>
  <TotalTime>1</TotalTime>
  <ScaleCrop>false</ScaleCrop>
  <LinksUpToDate>false</LinksUpToDate>
  <CharactersWithSpaces>6180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2025-05-29T09:13:00Z</dcterms:created>
  <dc:creator>ZSJ</dc:creator>
  <cp:lastModifiedBy>ZSJ</cp:lastModifiedBy>
  <dcterms:modified xsi:type="dcterms:W3CDTF">2025-05-29T11:27:17Z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857E5233A86441879433DDE49731365C_13</vt:lpwstr>
  </property>
  <property fmtid="{D5CDD505-2E9C-101B-9397-08002B2CF9AE}" pid="4" name="KSOTemplateDocerSaveRecord">
    <vt:lpwstr>eyJoZGlkIjoiY2ViMTBhM2IzODJhNTg3NTRjYmE3NjRhMWQwZDJkNzMiLCJ1c2VySWQiOiIzNjA2MTE1OTUifQ==</vt:lpwstr>
  </property>
</Properties>
</file>